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default" w:ascii="Times New Roman" w:hAnsi="Times New Roman" w:eastAsia="方正小标宋_GBK" w:cs="Times New Roman"/>
          <w:sz w:val="44"/>
          <w:szCs w:val="44"/>
        </w:rPr>
      </w:pPr>
      <w:bookmarkStart w:id="0" w:name="_GoBack"/>
      <w:r>
        <w:rPr>
          <w:rFonts w:hint="default" w:ascii="Times New Roman" w:hAnsi="Times New Roman" w:eastAsia="方正小标宋_GBK" w:cs="Times New Roman"/>
          <w:sz w:val="44"/>
          <w:szCs w:val="44"/>
        </w:rPr>
        <w:t>销售假药罪行刑衔接与刑事司法认定问题研究</w:t>
      </w:r>
    </w:p>
    <w:bookmarkEnd w:id="0"/>
    <w:p>
      <w:pPr>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仿宋_GB2312" w:cs="Times New Roman"/>
          <w:b w:val="0"/>
          <w:bCs w:val="0"/>
          <w:sz w:val="32"/>
          <w:szCs w:val="32"/>
          <w:lang w:val="en-US" w:eastAsia="zh-CN"/>
        </w:rPr>
        <w:t>佛山市顺德区人民检察院课题组</w:t>
      </w:r>
    </w:p>
    <w:p>
      <w:pPr>
        <w:rPr>
          <w:rFonts w:hint="default" w:ascii="Times New Roman" w:hAnsi="Times New Roman" w:cs="Times New Roman"/>
        </w:rPr>
      </w:pPr>
    </w:p>
    <w:p>
      <w:pPr>
        <w:pStyle w:val="9"/>
        <w:keepLines w:val="0"/>
        <w:pageBreakBefore w:val="0"/>
        <w:widowControl w:val="0"/>
        <w:kinsoku/>
        <w:wordWrap/>
        <w:overflowPunct/>
        <w:topLinePunct w:val="0"/>
        <w:autoSpaceDE/>
        <w:autoSpaceDN/>
        <w:bidi w:val="0"/>
        <w:adjustRightInd/>
        <w:snapToGrid/>
        <w:spacing w:line="570" w:lineRule="exact"/>
        <w:ind w:left="0" w:leftChars="0" w:firstLine="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摘</w:t>
      </w:r>
      <w:r>
        <w:rPr>
          <w:rFonts w:hint="default" w:ascii="Times New Roman" w:hAnsi="Times New Roman" w:eastAsia="仿宋_GB2312" w:cs="Times New Roman"/>
          <w:b/>
          <w:bCs/>
          <w:sz w:val="32"/>
          <w:szCs w:val="32"/>
          <w:lang w:val="en-US"/>
        </w:rPr>
        <w:t xml:space="preserve"> </w:t>
      </w:r>
      <w:r>
        <w:rPr>
          <w:rFonts w:hint="default" w:ascii="Times New Roman" w:hAnsi="Times New Roman" w:eastAsia="仿宋_GB2312" w:cs="Times New Roman"/>
          <w:b/>
          <w:bCs/>
          <w:sz w:val="32"/>
          <w:szCs w:val="32"/>
        </w:rPr>
        <w:t>要：</w:t>
      </w:r>
      <w:r>
        <w:rPr>
          <w:rFonts w:hint="default" w:ascii="Times New Roman" w:hAnsi="Times New Roman" w:eastAsia="仿宋_GB2312" w:cs="Times New Roman"/>
          <w:sz w:val="32"/>
          <w:szCs w:val="32"/>
        </w:rPr>
        <w:t>当前销售假药罪</w:t>
      </w:r>
      <w:r>
        <w:rPr>
          <w:rFonts w:hint="default" w:ascii="Times New Roman" w:hAnsi="Times New Roman" w:eastAsia="仿宋_GB2312" w:cs="Times New Roman"/>
          <w:sz w:val="32"/>
          <w:szCs w:val="32"/>
          <w:lang w:val="en-US" w:eastAsia="zh-CN"/>
        </w:rPr>
        <w:t>在</w:t>
      </w:r>
      <w:r>
        <w:rPr>
          <w:rFonts w:hint="default" w:ascii="Times New Roman" w:hAnsi="Times New Roman" w:eastAsia="仿宋_GB2312" w:cs="Times New Roman"/>
          <w:sz w:val="32"/>
          <w:szCs w:val="32"/>
        </w:rPr>
        <w:t>司法实践面临假药认定标准的行刑冲突</w:t>
      </w:r>
      <w:r>
        <w:rPr>
          <w:rFonts w:hint="default" w:ascii="Times New Roman" w:hAnsi="Times New Roman" w:eastAsia="仿宋_GB2312" w:cs="Times New Roman"/>
          <w:sz w:val="32"/>
          <w:szCs w:val="32"/>
          <w:lang w:val="en-US" w:eastAsia="zh-CN"/>
        </w:rPr>
        <w:t>与</w:t>
      </w:r>
      <w:r>
        <w:rPr>
          <w:rFonts w:hint="default" w:ascii="Times New Roman" w:hAnsi="Times New Roman" w:eastAsia="仿宋_GB2312" w:cs="Times New Roman"/>
          <w:sz w:val="32"/>
          <w:szCs w:val="32"/>
        </w:rPr>
        <w:t>主观明知认定的证明鸿沟双重结构性难题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其根源在于立法体系的</w:t>
      </w:r>
      <w:r>
        <w:rPr>
          <w:rFonts w:hint="default" w:ascii="Times New Roman" w:hAnsi="Times New Roman" w:eastAsia="仿宋_GB2312" w:cs="Times New Roman"/>
          <w:sz w:val="32"/>
          <w:szCs w:val="32"/>
          <w:lang w:val="en-US" w:eastAsia="zh-CN"/>
        </w:rPr>
        <w:t>模糊与空白</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为此需从</w:t>
      </w:r>
      <w:r>
        <w:rPr>
          <w:rFonts w:hint="default" w:ascii="Times New Roman" w:hAnsi="Times New Roman" w:eastAsia="仿宋_GB2312" w:cs="Times New Roman"/>
          <w:sz w:val="32"/>
          <w:szCs w:val="32"/>
        </w:rPr>
        <w:t>实体层面，建立</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行政形式审查+刑法实质危害性审查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的双层认定标准，通过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综合推定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模式严格认定主观明知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在</w:t>
      </w:r>
      <w:r>
        <w:rPr>
          <w:rFonts w:hint="default" w:ascii="Times New Roman" w:hAnsi="Times New Roman" w:eastAsia="仿宋_GB2312" w:cs="Times New Roman"/>
          <w:sz w:val="32"/>
          <w:szCs w:val="32"/>
        </w:rPr>
        <w:t>程序层面，构建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行刑民一体化</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协作平台，激活刑事附带民事公益诉讼机制，运用惩罚性赔偿弥补罚金处罚对公共健康法益保护的不足，形成多层次综合治理格局。</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关键词：</w:t>
      </w:r>
      <w:r>
        <w:rPr>
          <w:rFonts w:hint="default" w:ascii="Times New Roman" w:hAnsi="Times New Roman" w:eastAsia="仿宋_GB2312" w:cs="Times New Roman"/>
          <w:sz w:val="32"/>
          <w:szCs w:val="32"/>
        </w:rPr>
        <w:t>销售假药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假药的形式与实质标准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主观明知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协同机制构建</w:t>
      </w: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一、</w:t>
      </w:r>
      <w:r>
        <w:rPr>
          <w:rFonts w:hint="eastAsia" w:ascii="黑体" w:hAnsi="黑体" w:eastAsia="黑体" w:cs="黑体"/>
          <w:sz w:val="32"/>
          <w:szCs w:val="32"/>
        </w:rPr>
        <w:t>引言</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药品安全</w:t>
      </w:r>
      <w:r>
        <w:rPr>
          <w:rFonts w:hint="default" w:ascii="Times New Roman" w:hAnsi="Times New Roman" w:eastAsia="仿宋_GB2312" w:cs="Times New Roman"/>
          <w:sz w:val="32"/>
          <w:szCs w:val="32"/>
          <w:lang w:val="en-US" w:eastAsia="zh-CN"/>
        </w:rPr>
        <w:t>事关</w:t>
      </w:r>
      <w:r>
        <w:rPr>
          <w:rFonts w:hint="default" w:ascii="Times New Roman" w:hAnsi="Times New Roman" w:eastAsia="仿宋_GB2312" w:cs="Times New Roman"/>
          <w:sz w:val="32"/>
          <w:szCs w:val="32"/>
        </w:rPr>
        <w:t>人民群众的生命健康权益与社会和谐稳定大局，</w:t>
      </w:r>
      <w:r>
        <w:rPr>
          <w:rFonts w:hint="default" w:ascii="Times New Roman" w:hAnsi="Times New Roman" w:eastAsia="仿宋_GB2312" w:cs="Times New Roman"/>
          <w:sz w:val="32"/>
          <w:szCs w:val="32"/>
          <w:lang w:val="en-US" w:eastAsia="zh-CN"/>
        </w:rPr>
        <w:t>而</w:t>
      </w:r>
      <w:r>
        <w:rPr>
          <w:rFonts w:hint="default" w:ascii="Times New Roman" w:hAnsi="Times New Roman" w:eastAsia="仿宋_GB2312" w:cs="Times New Roman"/>
          <w:sz w:val="32"/>
          <w:szCs w:val="32"/>
        </w:rPr>
        <w:t>销售假药行为不仅对公众健康构成直接且深远的危害，更从根本上扰乱了国家药品管理秩序。随着</w:t>
      </w:r>
      <w:r>
        <w:rPr>
          <w:rFonts w:hint="default" w:ascii="Times New Roman" w:hAnsi="Times New Roman" w:eastAsia="仿宋_GB2312" w:cs="Times New Roman"/>
          <w:sz w:val="32"/>
          <w:szCs w:val="32"/>
          <w:lang w:eastAsia="zh-CN"/>
        </w:rPr>
        <w:t>《中华人民共和国刑法修正案（十一）》</w:t>
      </w:r>
      <w:r>
        <w:rPr>
          <w:rFonts w:hint="default" w:ascii="Times New Roman" w:hAnsi="Times New Roman" w:eastAsia="仿宋_GB2312" w:cs="Times New Roman"/>
          <w:sz w:val="32"/>
          <w:szCs w:val="32"/>
        </w:rPr>
        <w:t>对涉药品犯罪的重大修改以及新修订《中华人民共和国药品管理法》的实施，销售假药罪的犯罪构成要件、司法认定路径及其与行政处罚的衔接机制均面临系统性重构。这一系列法律修订</w:t>
      </w:r>
      <w:r>
        <w:rPr>
          <w:rFonts w:hint="default" w:ascii="Times New Roman" w:hAnsi="Times New Roman" w:eastAsia="仿宋_GB2312" w:cs="Times New Roman"/>
          <w:sz w:val="32"/>
          <w:szCs w:val="32"/>
          <w:lang w:val="en-US" w:eastAsia="zh-CN"/>
        </w:rPr>
        <w:t>不断挤压</w:t>
      </w:r>
      <w:r>
        <w:rPr>
          <w:rFonts w:hint="default" w:ascii="Times New Roman" w:hAnsi="Times New Roman" w:eastAsia="仿宋_GB2312" w:cs="Times New Roman"/>
          <w:sz w:val="32"/>
          <w:szCs w:val="32"/>
        </w:rPr>
        <w:t>药品犯罪</w:t>
      </w:r>
      <w:r>
        <w:rPr>
          <w:rFonts w:hint="default" w:ascii="Times New Roman" w:hAnsi="Times New Roman" w:eastAsia="仿宋_GB2312" w:cs="Times New Roman"/>
          <w:sz w:val="32"/>
          <w:szCs w:val="32"/>
          <w:lang w:val="en-US" w:eastAsia="zh-CN"/>
        </w:rPr>
        <w:t>空间</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但因</w:t>
      </w:r>
      <w:r>
        <w:rPr>
          <w:rFonts w:hint="default" w:ascii="Times New Roman" w:hAnsi="Times New Roman" w:eastAsia="仿宋_GB2312" w:cs="Times New Roman"/>
          <w:sz w:val="32"/>
          <w:szCs w:val="32"/>
        </w:rPr>
        <w:t>行政法规范与刑事法规范在理念定位、功能导向与技术逻辑层面的深层差异，在司法实践中衍生出诸多结构性矛盾。当前亟待破解的核心难题集中于两大维度：假药认定标准的行刑冲突与主观明知证明的体系割裂，以及由此引发的</w:t>
      </w:r>
      <w:r>
        <w:rPr>
          <w:rFonts w:hint="default" w:ascii="Times New Roman" w:hAnsi="Times New Roman" w:eastAsia="仿宋_GB2312" w:cs="Times New Roman"/>
          <w:sz w:val="32"/>
          <w:szCs w:val="32"/>
          <w:lang w:val="en-US" w:eastAsia="zh-CN"/>
        </w:rPr>
        <w:t>理论争议与司法实践中</w:t>
      </w:r>
      <w:r>
        <w:rPr>
          <w:rFonts w:hint="default" w:ascii="Times New Roman" w:hAnsi="Times New Roman" w:eastAsia="仿宋_GB2312" w:cs="Times New Roman"/>
          <w:sz w:val="32"/>
          <w:szCs w:val="32"/>
        </w:rPr>
        <w:t>行刑反向衔接机制</w:t>
      </w:r>
      <w:r>
        <w:rPr>
          <w:rFonts w:hint="default" w:ascii="Times New Roman" w:hAnsi="Times New Roman" w:eastAsia="仿宋_GB2312" w:cs="Times New Roman"/>
          <w:sz w:val="32"/>
          <w:szCs w:val="32"/>
          <w:lang w:val="en-US" w:eastAsia="zh-CN"/>
        </w:rPr>
        <w:t>难题</w:t>
      </w:r>
      <w:r>
        <w:rPr>
          <w:rFonts w:hint="default" w:ascii="Times New Roman" w:hAnsi="Times New Roman" w:eastAsia="仿宋_GB2312" w:cs="Times New Roman"/>
          <w:sz w:val="32"/>
          <w:szCs w:val="32"/>
        </w:rPr>
        <w:t>。这些困境不仅制约着药品安全治理效能，更直接影响司法公信力与公众法治获得感。</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面对上述错综复杂的理论争议与实践</w:t>
      </w:r>
      <w:r>
        <w:rPr>
          <w:rFonts w:hint="default" w:ascii="Times New Roman" w:hAnsi="Times New Roman" w:eastAsia="仿宋_GB2312" w:cs="Times New Roman"/>
          <w:sz w:val="32"/>
          <w:szCs w:val="32"/>
          <w:lang w:val="en-US" w:eastAsia="zh-CN"/>
        </w:rPr>
        <w:t>困境</w:t>
      </w:r>
      <w:r>
        <w:rPr>
          <w:rFonts w:hint="default" w:ascii="Times New Roman" w:hAnsi="Times New Roman" w:eastAsia="仿宋_GB2312" w:cs="Times New Roman"/>
          <w:sz w:val="32"/>
          <w:szCs w:val="32"/>
        </w:rPr>
        <w:t>，本文立足于药品安全法治保障的迫切需求</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通过</w:t>
      </w:r>
      <w:r>
        <w:rPr>
          <w:rFonts w:hint="default" w:ascii="Times New Roman" w:hAnsi="Times New Roman" w:eastAsia="仿宋_GB2312" w:cs="Times New Roman"/>
          <w:sz w:val="32"/>
          <w:szCs w:val="32"/>
        </w:rPr>
        <w:t>构建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形式入罪-实质出罪</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的双层审查机制</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设计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客观行为+主观认知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的综合推定规则，创新行刑反向衔接制度框架，</w:t>
      </w:r>
      <w:r>
        <w:rPr>
          <w:rFonts w:hint="default" w:ascii="Times New Roman" w:hAnsi="Times New Roman" w:eastAsia="仿宋_GB2312" w:cs="Times New Roman"/>
          <w:sz w:val="32"/>
          <w:szCs w:val="32"/>
          <w:lang w:val="en-US" w:eastAsia="zh-CN"/>
        </w:rPr>
        <w:t>以</w:t>
      </w:r>
      <w:r>
        <w:rPr>
          <w:rFonts w:hint="default" w:ascii="Times New Roman" w:hAnsi="Times New Roman" w:eastAsia="仿宋_GB2312" w:cs="Times New Roman"/>
          <w:sz w:val="32"/>
          <w:szCs w:val="32"/>
        </w:rPr>
        <w:t>探索</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行刑民一体化</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治理范式。</w:t>
      </w:r>
    </w:p>
    <w:p>
      <w:pPr>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outlineLvl w:val="0"/>
        <w:rPr>
          <w:rFonts w:hint="eastAsia" w:ascii="黑体" w:hAnsi="黑体" w:eastAsia="黑体" w:cs="黑体"/>
          <w:sz w:val="32"/>
          <w:szCs w:val="32"/>
        </w:rPr>
      </w:pPr>
      <w:r>
        <w:rPr>
          <w:rFonts w:hint="eastAsia" w:ascii="黑体" w:hAnsi="黑体" w:eastAsia="黑体" w:cs="黑体"/>
          <w:sz w:val="32"/>
          <w:szCs w:val="32"/>
          <w:lang w:eastAsia="zh-CN"/>
        </w:rPr>
        <w:t>二、</w:t>
      </w:r>
      <w:r>
        <w:rPr>
          <w:rFonts w:hint="eastAsia" w:ascii="黑体" w:hAnsi="黑体" w:eastAsia="黑体" w:cs="黑体"/>
          <w:sz w:val="32"/>
          <w:szCs w:val="32"/>
        </w:rPr>
        <w:t>假药犯罪立法变迁与行刑衔接困境</w:t>
      </w:r>
    </w:p>
    <w:p>
      <w:pPr>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outlineLvl w:val="0"/>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（一）假药犯罪的立法演进：从独立到依附再到分立</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我国假药犯罪的刑事规制体系历经了从刑法规范独立创设，到全面依附行政法认定标准，再到构建相对独立判断标准的螺旋式演进。</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1979至1993年的完全独立阶段呈现刑法规范的自主性特征。1979年</w:t>
      </w:r>
      <w:r>
        <w:rPr>
          <w:rFonts w:hint="default" w:ascii="Times New Roman" w:hAnsi="Times New Roman" w:eastAsia="仿宋_GB2312" w:cs="Times New Roman"/>
          <w:sz w:val="32"/>
          <w:szCs w:val="32"/>
          <w:lang w:eastAsia="zh-CN"/>
        </w:rPr>
        <w:t>《中华人民共和国刑法》</w:t>
      </w:r>
      <w:r>
        <w:rPr>
          <w:rFonts w:hint="default" w:ascii="Times New Roman" w:hAnsi="Times New Roman" w:eastAsia="仿宋_GB2312" w:cs="Times New Roman"/>
          <w:sz w:val="32"/>
          <w:szCs w:val="32"/>
        </w:rPr>
        <w:t>第164条提出“制造、贩卖假药罪”，其罪状表述聚焦“危害人民健康”的实质法益侵害，未援引任何行政法概念。1993至2020年的行政从属阶段标志着行政认定标准的全面主导。1993年</w:t>
      </w:r>
      <w:r>
        <w:rPr>
          <w:rFonts w:hint="default" w:ascii="Times New Roman" w:hAnsi="Times New Roman" w:eastAsia="仿宋_GB2312" w:cs="Times New Roman"/>
          <w:sz w:val="32"/>
          <w:szCs w:val="32"/>
          <w:lang w:eastAsia="zh-CN"/>
        </w:rPr>
        <w:t>《全国人民代表大会常务委员会关于惩治生产、销售伪劣商品犯罪的决定》</w:t>
      </w:r>
      <w:r>
        <w:rPr>
          <w:rFonts w:hint="default" w:ascii="Times New Roman" w:hAnsi="Times New Roman" w:eastAsia="仿宋_GB2312" w:cs="Times New Roman"/>
          <w:sz w:val="32"/>
          <w:szCs w:val="32"/>
        </w:rPr>
        <w:t>第2条首次将假药定义锚定于</w:t>
      </w:r>
      <w:r>
        <w:rPr>
          <w:rFonts w:hint="default" w:ascii="Times New Roman" w:hAnsi="Times New Roman" w:eastAsia="仿宋_GB2312" w:cs="Times New Roman"/>
          <w:sz w:val="32"/>
          <w:szCs w:val="32"/>
          <w:lang w:eastAsia="zh-CN"/>
        </w:rPr>
        <w:t>《中华人民共和国药品管理法》</w:t>
      </w:r>
      <w:r>
        <w:rPr>
          <w:rFonts w:hint="default" w:ascii="Times New Roman" w:hAnsi="Times New Roman" w:eastAsia="仿宋_GB2312" w:cs="Times New Roman"/>
          <w:sz w:val="32"/>
          <w:szCs w:val="32"/>
        </w:rPr>
        <w:t>，1997年</w:t>
      </w:r>
      <w:r>
        <w:rPr>
          <w:rFonts w:hint="default" w:ascii="Times New Roman" w:hAnsi="Times New Roman" w:eastAsia="仿宋_GB2312" w:cs="Times New Roman"/>
          <w:sz w:val="32"/>
          <w:szCs w:val="32"/>
          <w:lang w:eastAsia="zh-CN"/>
        </w:rPr>
        <w:t>《中华人民共和国刑法》</w:t>
      </w:r>
      <w:r>
        <w:rPr>
          <w:rFonts w:hint="default" w:ascii="Times New Roman" w:hAnsi="Times New Roman" w:eastAsia="仿宋_GB2312" w:cs="Times New Roman"/>
          <w:sz w:val="32"/>
          <w:szCs w:val="32"/>
        </w:rPr>
        <w:t>第141条沿袭此模式。2001年</w:t>
      </w:r>
      <w:r>
        <w:rPr>
          <w:rFonts w:hint="default" w:ascii="Times New Roman" w:hAnsi="Times New Roman" w:eastAsia="仿宋_GB2312" w:cs="Times New Roman"/>
          <w:sz w:val="32"/>
          <w:szCs w:val="32"/>
          <w:lang w:eastAsia="zh-CN"/>
        </w:rPr>
        <w:t>《中华人民共和国药品管理法》</w:t>
      </w:r>
      <w:r>
        <w:rPr>
          <w:rFonts w:hint="default" w:ascii="Times New Roman" w:hAnsi="Times New Roman" w:eastAsia="仿宋_GB2312" w:cs="Times New Roman"/>
          <w:sz w:val="32"/>
          <w:szCs w:val="32"/>
        </w:rPr>
        <w:t>进行全面修改，修改的第48条采用纯粹形式标准界定假药，导致刑法实质审查要件被虚置。后又于2013 年、2015 年、2019 年作出三次修正。2001年修订时将假药由6种增加至8种, 将劣药由3种增加至7种,从而扩大了药品犯罪的规制范围。2013年、2015年修正时未涉及假药和劣药问题,对药品犯罪没有影响。 2019年修正时对假药和劣药又作了重大修改:一是统一使用假药和劣药的概念,不再区分假药、劣药和拟制假药、拟制劣药;二是调整了假药和劣药的范围,重点减少了假药的种类,删减4种拟制假药,将被污染的药品归入劣药范围。</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2020年至今的相对独立阶段显现行刑分立趋势。</w:t>
      </w:r>
      <w:r>
        <w:rPr>
          <w:rFonts w:hint="default" w:ascii="Times New Roman" w:hAnsi="Times New Roman" w:eastAsia="仿宋_GB2312" w:cs="Times New Roman"/>
          <w:sz w:val="32"/>
          <w:szCs w:val="32"/>
          <w:lang w:eastAsia="zh-CN"/>
        </w:rPr>
        <w:t>《中华人民共和国刑法修正案（十一）》</w:t>
      </w:r>
      <w:r>
        <w:rPr>
          <w:rFonts w:hint="default" w:ascii="Times New Roman" w:hAnsi="Times New Roman" w:eastAsia="仿宋_GB2312" w:cs="Times New Roman"/>
          <w:sz w:val="32"/>
          <w:szCs w:val="32"/>
        </w:rPr>
        <w:t>删除第141条中“依照</w:t>
      </w:r>
      <w:r>
        <w:rPr>
          <w:rFonts w:hint="default" w:ascii="Times New Roman" w:hAnsi="Times New Roman" w:eastAsia="仿宋_GB2312" w:cs="Times New Roman"/>
          <w:sz w:val="32"/>
          <w:szCs w:val="32"/>
          <w:lang w:eastAsia="zh-CN"/>
        </w:rPr>
        <w:t>《中华人民共和国药品管理法》</w:t>
      </w:r>
      <w:r>
        <w:rPr>
          <w:rFonts w:hint="default" w:ascii="Times New Roman" w:hAnsi="Times New Roman" w:eastAsia="仿宋_GB2312" w:cs="Times New Roman"/>
          <w:sz w:val="32"/>
          <w:szCs w:val="32"/>
        </w:rPr>
        <w:t>规定属于假药”的援引条款，同步废除“足以严重危害人体健康”要件，改为行为犯模式，改变了长期以来药品犯罪刑法规范对《 药品管理法》的完全从属性特征。司法人员也可以发挥主观能动性,在</w:t>
      </w:r>
      <w:r>
        <w:rPr>
          <w:rFonts w:hint="default" w:ascii="Times New Roman" w:hAnsi="Times New Roman" w:eastAsia="仿宋_GB2312" w:cs="Times New Roman"/>
          <w:sz w:val="32"/>
          <w:szCs w:val="32"/>
          <w:lang w:eastAsia="zh-CN"/>
        </w:rPr>
        <w:t>《中华人民共和国药品管理法》</w:t>
      </w:r>
      <w:r>
        <w:rPr>
          <w:rFonts w:hint="default" w:ascii="Times New Roman" w:hAnsi="Times New Roman" w:eastAsia="仿宋_GB2312" w:cs="Times New Roman"/>
          <w:sz w:val="32"/>
          <w:szCs w:val="32"/>
        </w:rPr>
        <w:t>之外根据药品的本质特征确定涉案药物是否为假药、劣药,从而决定是否构成生产、销售假药、劣药犯罪。因此,《</w:t>
      </w:r>
      <w:r>
        <w:rPr>
          <w:rFonts w:hint="default" w:ascii="Times New Roman" w:hAnsi="Times New Roman" w:eastAsia="仿宋_GB2312" w:cs="Times New Roman"/>
          <w:sz w:val="32"/>
          <w:szCs w:val="32"/>
          <w:lang w:eastAsia="zh-CN"/>
        </w:rPr>
        <w:t>中华人民共和国刑法修正案（十一）</w:t>
      </w:r>
      <w:r>
        <w:rPr>
          <w:rFonts w:hint="default" w:ascii="Times New Roman" w:hAnsi="Times New Roman" w:eastAsia="仿宋_GB2312" w:cs="Times New Roman"/>
          <w:sz w:val="32"/>
          <w:szCs w:val="32"/>
        </w:rPr>
        <w:t>》颁行之后,药品犯罪刑法规范与</w:t>
      </w:r>
      <w:r>
        <w:rPr>
          <w:rFonts w:hint="default" w:ascii="Times New Roman" w:hAnsi="Times New Roman" w:eastAsia="仿宋_GB2312" w:cs="Times New Roman"/>
          <w:sz w:val="32"/>
          <w:szCs w:val="32"/>
          <w:lang w:eastAsia="zh-CN"/>
        </w:rPr>
        <w:t>《中华人民共和国药品管理法》</w:t>
      </w:r>
      <w:r>
        <w:rPr>
          <w:rFonts w:hint="default" w:ascii="Times New Roman" w:hAnsi="Times New Roman" w:eastAsia="仿宋_GB2312" w:cs="Times New Roman"/>
          <w:sz w:val="32"/>
          <w:szCs w:val="32"/>
        </w:rPr>
        <w:t>之间呈相对独立。</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lang w:val="en-US" w:eastAsia="zh-CN"/>
        </w:rPr>
        <w:t>二</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b/>
          <w:bCs/>
          <w:sz w:val="32"/>
          <w:szCs w:val="32"/>
        </w:rPr>
        <w:t>当前行刑衔接的主要困境：规范分立下的系统性阻碍</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立法转型在赋予刑法独立性的同时，亦引发双重衔接困境，严重制约药品安全治理效能。假药认定标准的行刑分立导致形式合法性与实质可罚性张力凸显。刑法脱离行政定义后，司法实践对是否参照行政标准形成根本分歧：“参照必要说”主张以</w:t>
      </w:r>
      <w:r>
        <w:rPr>
          <w:rFonts w:hint="default" w:ascii="Times New Roman" w:hAnsi="Times New Roman" w:eastAsia="仿宋_GB2312" w:cs="Times New Roman"/>
          <w:sz w:val="32"/>
          <w:szCs w:val="32"/>
          <w:lang w:eastAsia="zh-CN"/>
        </w:rPr>
        <w:t>《中华人民共和国药品管理法》</w:t>
      </w:r>
      <w:r>
        <w:rPr>
          <w:rFonts w:hint="default" w:ascii="Times New Roman" w:hAnsi="Times New Roman" w:eastAsia="仿宋_GB2312" w:cs="Times New Roman"/>
          <w:sz w:val="32"/>
          <w:szCs w:val="32"/>
        </w:rPr>
        <w:t>定义为起点进行限缩解释；“独立判断说”则强调刑法可实质性突破行政定义。深层矛盾在于法益保护位序冲突——行政法侧重维护药品管理秩序，</w:t>
      </w:r>
      <w:r>
        <w:rPr>
          <w:rFonts w:hint="default" w:ascii="Times New Roman" w:hAnsi="Times New Roman" w:eastAsia="仿宋_GB2312" w:cs="Times New Roman"/>
          <w:sz w:val="32"/>
          <w:szCs w:val="32"/>
          <w:lang w:val="en-US" w:eastAsia="zh-CN"/>
        </w:rPr>
        <w:t>而</w:t>
      </w:r>
      <w:r>
        <w:rPr>
          <w:rFonts w:hint="default" w:ascii="Times New Roman" w:hAnsi="Times New Roman" w:eastAsia="仿宋_GB2312" w:cs="Times New Roman"/>
          <w:sz w:val="32"/>
          <w:szCs w:val="32"/>
        </w:rPr>
        <w:t>刑法则以生命健康权保障为核心。</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主观明知认定的证明鸿沟体现为过错推定与故意证明的体系割裂</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下表揭示制度设计的根本差异：</w:t>
      </w:r>
    </w:p>
    <w:tbl>
      <w:tblPr>
        <w:tblStyle w:val="6"/>
        <w:tblW w:w="8217" w:type="dxa"/>
        <w:jc w:val="center"/>
        <w:tblLayout w:type="fixed"/>
        <w:tblCellMar>
          <w:top w:w="0" w:type="dxa"/>
          <w:left w:w="108" w:type="dxa"/>
          <w:bottom w:w="0" w:type="dxa"/>
          <w:right w:w="108" w:type="dxa"/>
        </w:tblCellMar>
      </w:tblPr>
      <w:tblGrid>
        <w:gridCol w:w="1565"/>
        <w:gridCol w:w="3250"/>
        <w:gridCol w:w="3402"/>
      </w:tblGrid>
      <w:tr>
        <w:tblPrEx>
          <w:tblCellMar>
            <w:top w:w="0" w:type="dxa"/>
            <w:left w:w="108" w:type="dxa"/>
            <w:bottom w:w="0" w:type="dxa"/>
            <w:right w:w="108" w:type="dxa"/>
          </w:tblCellMar>
        </w:tblPrEx>
        <w:trPr>
          <w:trHeight w:val="300" w:hRule="atLeast"/>
          <w:jc w:val="center"/>
        </w:trPr>
        <w:tc>
          <w:tcPr>
            <w:tcW w:w="1565" w:type="dxa"/>
            <w:tcBorders>
              <w:top w:val="single" w:color="auto" w:sz="4" w:space="0"/>
              <w:left w:val="single" w:color="auto" w:sz="4" w:space="0"/>
              <w:bottom w:val="single" w:color="auto" w:sz="4" w:space="0"/>
              <w:right w:val="single" w:color="auto" w:sz="4" w:space="0"/>
            </w:tcBorders>
            <w:noWrap/>
            <w:vAlign w:val="center"/>
          </w:tcPr>
          <w:p>
            <w:pPr>
              <w:pStyle w:val="5"/>
              <w:keepLines w:val="0"/>
              <w:pageBreakBefore w:val="0"/>
              <w:widowControl w:val="0"/>
              <w:kinsoku/>
              <w:wordWrap/>
              <w:overflowPunct/>
              <w:topLinePunct w:val="0"/>
              <w:autoSpaceDE/>
              <w:autoSpaceDN/>
              <w:bidi w:val="0"/>
              <w:adjustRightInd/>
              <w:snapToGrid/>
              <w:spacing w:line="570" w:lineRule="exact"/>
              <w:ind w:left="0" w:leftChars="0" w:firstLine="0" w:firstLineChars="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维度</w:t>
            </w:r>
          </w:p>
        </w:tc>
        <w:tc>
          <w:tcPr>
            <w:tcW w:w="3250" w:type="dxa"/>
            <w:tcBorders>
              <w:top w:val="single" w:color="auto" w:sz="4" w:space="0"/>
              <w:left w:val="nil"/>
              <w:bottom w:val="single" w:color="auto" w:sz="4" w:space="0"/>
              <w:right w:val="single" w:color="auto" w:sz="4" w:space="0"/>
            </w:tcBorders>
            <w:noWrap/>
            <w:vAlign w:val="center"/>
          </w:tcPr>
          <w:p>
            <w:pPr>
              <w:pStyle w:val="5"/>
              <w:keepLines w:val="0"/>
              <w:pageBreakBefore w:val="0"/>
              <w:widowControl w:val="0"/>
              <w:kinsoku/>
              <w:wordWrap/>
              <w:overflowPunct/>
              <w:topLinePunct w:val="0"/>
              <w:autoSpaceDE/>
              <w:autoSpaceDN/>
              <w:bidi w:val="0"/>
              <w:adjustRightInd/>
              <w:snapToGrid/>
              <w:spacing w:line="570" w:lineRule="exact"/>
              <w:ind w:left="0" w:leftChars="0"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行政法体系</w:t>
            </w:r>
          </w:p>
        </w:tc>
        <w:tc>
          <w:tcPr>
            <w:tcW w:w="3402" w:type="dxa"/>
            <w:tcBorders>
              <w:top w:val="single" w:color="auto" w:sz="4" w:space="0"/>
              <w:left w:val="nil"/>
              <w:bottom w:val="single" w:color="auto" w:sz="4" w:space="0"/>
              <w:right w:val="single" w:color="auto" w:sz="4" w:space="0"/>
            </w:tcBorders>
            <w:noWrap/>
            <w:vAlign w:val="center"/>
          </w:tcPr>
          <w:p>
            <w:pPr>
              <w:pStyle w:val="5"/>
              <w:keepLines w:val="0"/>
              <w:pageBreakBefore w:val="0"/>
              <w:widowControl w:val="0"/>
              <w:kinsoku/>
              <w:wordWrap/>
              <w:overflowPunct/>
              <w:topLinePunct w:val="0"/>
              <w:autoSpaceDE/>
              <w:autoSpaceDN/>
              <w:bidi w:val="0"/>
              <w:adjustRightInd/>
              <w:snapToGrid/>
              <w:spacing w:line="570" w:lineRule="exact"/>
              <w:ind w:left="0" w:leftChars="0"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刑法体系</w:t>
            </w:r>
          </w:p>
        </w:tc>
      </w:tr>
      <w:tr>
        <w:tblPrEx>
          <w:tblCellMar>
            <w:top w:w="0" w:type="dxa"/>
            <w:left w:w="108" w:type="dxa"/>
            <w:bottom w:w="0" w:type="dxa"/>
            <w:right w:w="108" w:type="dxa"/>
          </w:tblCellMar>
        </w:tblPrEx>
        <w:trPr>
          <w:trHeight w:val="309" w:hRule="atLeast"/>
          <w:jc w:val="center"/>
        </w:trPr>
        <w:tc>
          <w:tcPr>
            <w:tcW w:w="1565" w:type="dxa"/>
            <w:tcBorders>
              <w:top w:val="nil"/>
              <w:left w:val="single" w:color="auto" w:sz="4" w:space="0"/>
              <w:bottom w:val="single" w:color="auto" w:sz="4" w:space="0"/>
              <w:right w:val="single" w:color="auto" w:sz="4" w:space="0"/>
            </w:tcBorders>
            <w:noWrap/>
            <w:vAlign w:val="center"/>
          </w:tcPr>
          <w:p>
            <w:pPr>
              <w:pStyle w:val="5"/>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归责原则</w:t>
            </w:r>
          </w:p>
        </w:tc>
        <w:tc>
          <w:tcPr>
            <w:tcW w:w="3250" w:type="dxa"/>
            <w:tcBorders>
              <w:top w:val="nil"/>
              <w:left w:val="nil"/>
              <w:bottom w:val="single" w:color="auto" w:sz="4" w:space="0"/>
              <w:right w:val="single" w:color="auto" w:sz="4" w:space="0"/>
            </w:tcBorders>
            <w:noWrap/>
            <w:vAlign w:val="center"/>
          </w:tcPr>
          <w:p>
            <w:pPr>
              <w:pStyle w:val="5"/>
              <w:keepLines w:val="0"/>
              <w:pageBreakBefore w:val="0"/>
              <w:widowControl w:val="0"/>
              <w:kinsoku/>
              <w:wordWrap/>
              <w:overflowPunct/>
              <w:topLinePunct w:val="0"/>
              <w:autoSpaceDE/>
              <w:autoSpaceDN/>
              <w:bidi w:val="0"/>
              <w:adjustRightInd/>
              <w:snapToGrid/>
              <w:spacing w:line="570" w:lineRule="exact"/>
              <w:ind w:left="0" w:leftChars="0" w:firstLine="0" w:firstLineChars="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过错推定（</w:t>
            </w:r>
            <w:r>
              <w:rPr>
                <w:rFonts w:hint="default" w:ascii="Times New Roman" w:hAnsi="Times New Roman" w:eastAsia="仿宋_GB2312" w:cs="Times New Roman"/>
                <w:sz w:val="32"/>
                <w:szCs w:val="32"/>
                <w:lang w:eastAsia="zh-CN"/>
              </w:rPr>
              <w:t>《中华人民共和国药品管理法》</w:t>
            </w:r>
            <w:r>
              <w:rPr>
                <w:rFonts w:hint="default" w:ascii="Times New Roman" w:hAnsi="Times New Roman" w:eastAsia="仿宋_GB2312" w:cs="Times New Roman"/>
                <w:sz w:val="32"/>
                <w:szCs w:val="32"/>
              </w:rPr>
              <w:t>第120条）</w:t>
            </w:r>
          </w:p>
        </w:tc>
        <w:tc>
          <w:tcPr>
            <w:tcW w:w="3402" w:type="dxa"/>
            <w:tcBorders>
              <w:top w:val="nil"/>
              <w:left w:val="nil"/>
              <w:bottom w:val="single" w:color="auto" w:sz="4" w:space="0"/>
              <w:right w:val="single" w:color="auto" w:sz="4" w:space="0"/>
            </w:tcBorders>
            <w:noWrap/>
            <w:vAlign w:val="center"/>
          </w:tcPr>
          <w:p>
            <w:pPr>
              <w:pStyle w:val="5"/>
              <w:keepLines w:val="0"/>
              <w:pageBreakBefore w:val="0"/>
              <w:widowControl w:val="0"/>
              <w:kinsoku/>
              <w:wordWrap/>
              <w:overflowPunct/>
              <w:topLinePunct w:val="0"/>
              <w:autoSpaceDE/>
              <w:autoSpaceDN/>
              <w:bidi w:val="0"/>
              <w:adjustRightInd/>
              <w:snapToGrid/>
              <w:spacing w:line="570" w:lineRule="exact"/>
              <w:ind w:left="0" w:leftChars="0" w:firstLine="0" w:firstLineChars="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故意证明（</w:t>
            </w:r>
            <w:r>
              <w:rPr>
                <w:rFonts w:hint="default" w:ascii="Times New Roman" w:hAnsi="Times New Roman" w:eastAsia="仿宋_GB2312" w:cs="Times New Roman"/>
                <w:sz w:val="32"/>
                <w:szCs w:val="32"/>
                <w:lang w:eastAsia="zh-CN"/>
              </w:rPr>
              <w:t>《中华人民共和国刑法》</w:t>
            </w:r>
            <w:r>
              <w:rPr>
                <w:rFonts w:hint="default" w:ascii="Times New Roman" w:hAnsi="Times New Roman" w:eastAsia="仿宋_GB2312" w:cs="Times New Roman"/>
                <w:sz w:val="32"/>
                <w:szCs w:val="32"/>
              </w:rPr>
              <w:t>第14条）</w:t>
            </w:r>
          </w:p>
        </w:tc>
      </w:tr>
      <w:tr>
        <w:tblPrEx>
          <w:tblCellMar>
            <w:top w:w="0" w:type="dxa"/>
            <w:left w:w="108" w:type="dxa"/>
            <w:bottom w:w="0" w:type="dxa"/>
            <w:right w:w="108" w:type="dxa"/>
          </w:tblCellMar>
        </w:tblPrEx>
        <w:trPr>
          <w:trHeight w:val="309" w:hRule="atLeast"/>
          <w:jc w:val="center"/>
        </w:trPr>
        <w:tc>
          <w:tcPr>
            <w:tcW w:w="1565" w:type="dxa"/>
            <w:tcBorders>
              <w:top w:val="nil"/>
              <w:left w:val="single" w:color="auto" w:sz="4" w:space="0"/>
              <w:bottom w:val="single" w:color="auto" w:sz="4" w:space="0"/>
              <w:right w:val="single" w:color="auto" w:sz="4" w:space="0"/>
            </w:tcBorders>
            <w:noWrap/>
            <w:vAlign w:val="center"/>
          </w:tcPr>
          <w:p>
            <w:pPr>
              <w:pStyle w:val="5"/>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证明对象</w:t>
            </w:r>
          </w:p>
        </w:tc>
        <w:tc>
          <w:tcPr>
            <w:tcW w:w="3250" w:type="dxa"/>
            <w:tcBorders>
              <w:top w:val="nil"/>
              <w:left w:val="nil"/>
              <w:bottom w:val="single" w:color="auto" w:sz="4" w:space="0"/>
              <w:right w:val="single" w:color="auto" w:sz="4" w:space="0"/>
            </w:tcBorders>
            <w:noWrap/>
            <w:vAlign w:val="center"/>
          </w:tcPr>
          <w:p>
            <w:pPr>
              <w:pStyle w:val="5"/>
              <w:keepLines w:val="0"/>
              <w:pageBreakBefore w:val="0"/>
              <w:widowControl w:val="0"/>
              <w:kinsoku/>
              <w:wordWrap/>
              <w:overflowPunct/>
              <w:topLinePunct w:val="0"/>
              <w:autoSpaceDE/>
              <w:autoSpaceDN/>
              <w:bidi w:val="0"/>
              <w:adjustRightInd/>
              <w:snapToGrid/>
              <w:spacing w:line="570" w:lineRule="exact"/>
              <w:ind w:left="0" w:leftChars="0" w:firstLine="0" w:firstLineChars="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过错（故意/过失）</w:t>
            </w:r>
          </w:p>
        </w:tc>
        <w:tc>
          <w:tcPr>
            <w:tcW w:w="3402" w:type="dxa"/>
            <w:tcBorders>
              <w:top w:val="nil"/>
              <w:left w:val="nil"/>
              <w:bottom w:val="single" w:color="auto" w:sz="4" w:space="0"/>
              <w:right w:val="single" w:color="auto" w:sz="4" w:space="0"/>
            </w:tcBorders>
            <w:noWrap/>
            <w:vAlign w:val="center"/>
          </w:tcPr>
          <w:p>
            <w:pPr>
              <w:pStyle w:val="5"/>
              <w:keepLines w:val="0"/>
              <w:pageBreakBefore w:val="0"/>
              <w:widowControl w:val="0"/>
              <w:kinsoku/>
              <w:wordWrap/>
              <w:overflowPunct/>
              <w:topLinePunct w:val="0"/>
              <w:autoSpaceDE/>
              <w:autoSpaceDN/>
              <w:bidi w:val="0"/>
              <w:adjustRightInd/>
              <w:snapToGrid/>
              <w:spacing w:line="570" w:lineRule="exact"/>
              <w:ind w:left="0" w:leftChars="0" w:firstLine="0" w:firstLineChars="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明知且希望/放任危害结果</w:t>
            </w:r>
          </w:p>
        </w:tc>
      </w:tr>
      <w:tr>
        <w:tblPrEx>
          <w:tblCellMar>
            <w:top w:w="0" w:type="dxa"/>
            <w:left w:w="108" w:type="dxa"/>
            <w:bottom w:w="0" w:type="dxa"/>
            <w:right w:w="108" w:type="dxa"/>
          </w:tblCellMar>
        </w:tblPrEx>
        <w:trPr>
          <w:trHeight w:val="733" w:hRule="atLeast"/>
          <w:jc w:val="center"/>
        </w:trPr>
        <w:tc>
          <w:tcPr>
            <w:tcW w:w="1565" w:type="dxa"/>
            <w:tcBorders>
              <w:top w:val="nil"/>
              <w:left w:val="single" w:color="auto" w:sz="4" w:space="0"/>
              <w:bottom w:val="single" w:color="auto" w:sz="4" w:space="0"/>
              <w:right w:val="single" w:color="auto" w:sz="4" w:space="0"/>
            </w:tcBorders>
            <w:noWrap/>
            <w:vAlign w:val="center"/>
          </w:tcPr>
          <w:p>
            <w:pPr>
              <w:pStyle w:val="5"/>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证明责任</w:t>
            </w:r>
          </w:p>
        </w:tc>
        <w:tc>
          <w:tcPr>
            <w:tcW w:w="3250" w:type="dxa"/>
            <w:tcBorders>
              <w:top w:val="nil"/>
              <w:left w:val="nil"/>
              <w:bottom w:val="single" w:color="auto" w:sz="4" w:space="0"/>
              <w:right w:val="single" w:color="auto" w:sz="4" w:space="0"/>
            </w:tcBorders>
            <w:noWrap/>
            <w:vAlign w:val="center"/>
          </w:tcPr>
          <w:p>
            <w:pPr>
              <w:pStyle w:val="5"/>
              <w:keepLines w:val="0"/>
              <w:pageBreakBefore w:val="0"/>
              <w:widowControl w:val="0"/>
              <w:kinsoku/>
              <w:wordWrap/>
              <w:overflowPunct/>
              <w:topLinePunct w:val="0"/>
              <w:autoSpaceDE/>
              <w:autoSpaceDN/>
              <w:bidi w:val="0"/>
              <w:adjustRightInd/>
              <w:snapToGrid/>
              <w:spacing w:line="570" w:lineRule="exact"/>
              <w:ind w:left="0" w:leftChars="0" w:firstLine="0" w:firstLineChars="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行为人自证无过错</w:t>
            </w:r>
          </w:p>
        </w:tc>
        <w:tc>
          <w:tcPr>
            <w:tcW w:w="3402" w:type="dxa"/>
            <w:tcBorders>
              <w:top w:val="nil"/>
              <w:left w:val="nil"/>
              <w:bottom w:val="single" w:color="auto" w:sz="4" w:space="0"/>
              <w:right w:val="single" w:color="auto" w:sz="4" w:space="0"/>
            </w:tcBorders>
            <w:noWrap/>
            <w:vAlign w:val="center"/>
          </w:tcPr>
          <w:p>
            <w:pPr>
              <w:pStyle w:val="5"/>
              <w:keepLines w:val="0"/>
              <w:pageBreakBefore w:val="0"/>
              <w:widowControl w:val="0"/>
              <w:kinsoku/>
              <w:wordWrap/>
              <w:overflowPunct/>
              <w:topLinePunct w:val="0"/>
              <w:autoSpaceDE/>
              <w:autoSpaceDN/>
              <w:bidi w:val="0"/>
              <w:adjustRightInd/>
              <w:snapToGrid/>
              <w:spacing w:line="570" w:lineRule="exact"/>
              <w:ind w:left="0" w:leftChars="0" w:firstLine="0" w:firstLineChars="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公诉机关证明故意</w:t>
            </w:r>
          </w:p>
        </w:tc>
      </w:tr>
      <w:tr>
        <w:tblPrEx>
          <w:tblCellMar>
            <w:top w:w="0" w:type="dxa"/>
            <w:left w:w="108" w:type="dxa"/>
            <w:bottom w:w="0" w:type="dxa"/>
            <w:right w:w="108" w:type="dxa"/>
          </w:tblCellMar>
        </w:tblPrEx>
        <w:trPr>
          <w:trHeight w:val="867" w:hRule="atLeast"/>
          <w:jc w:val="center"/>
        </w:trPr>
        <w:tc>
          <w:tcPr>
            <w:tcW w:w="1565" w:type="dxa"/>
            <w:tcBorders>
              <w:top w:val="nil"/>
              <w:left w:val="single" w:color="auto" w:sz="4" w:space="0"/>
              <w:bottom w:val="single" w:color="auto" w:sz="4" w:space="0"/>
              <w:right w:val="single" w:color="auto" w:sz="4" w:space="0"/>
            </w:tcBorders>
            <w:noWrap/>
            <w:vAlign w:val="center"/>
          </w:tcPr>
          <w:p>
            <w:pPr>
              <w:pStyle w:val="5"/>
              <w:keepLines w:val="0"/>
              <w:pageBreakBefore w:val="0"/>
              <w:widowControl w:val="0"/>
              <w:kinsoku/>
              <w:wordWrap/>
              <w:overflowPunct/>
              <w:topLinePunct w:val="0"/>
              <w:autoSpaceDE/>
              <w:autoSpaceDN/>
              <w:bidi w:val="0"/>
              <w:adjustRightInd/>
              <w:snapToGrid/>
              <w:spacing w:line="570" w:lineRule="exact"/>
              <w:ind w:left="0" w:leftChars="0" w:firstLine="0" w:firstLine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证明标准</w:t>
            </w:r>
          </w:p>
        </w:tc>
        <w:tc>
          <w:tcPr>
            <w:tcW w:w="3250" w:type="dxa"/>
            <w:tcBorders>
              <w:top w:val="nil"/>
              <w:left w:val="nil"/>
              <w:bottom w:val="single" w:color="auto" w:sz="4" w:space="0"/>
              <w:right w:val="single" w:color="auto" w:sz="4" w:space="0"/>
            </w:tcBorders>
            <w:noWrap/>
            <w:vAlign w:val="center"/>
          </w:tcPr>
          <w:p>
            <w:pPr>
              <w:pStyle w:val="5"/>
              <w:keepLines w:val="0"/>
              <w:pageBreakBefore w:val="0"/>
              <w:widowControl w:val="0"/>
              <w:kinsoku/>
              <w:wordWrap/>
              <w:overflowPunct/>
              <w:topLinePunct w:val="0"/>
              <w:autoSpaceDE/>
              <w:autoSpaceDN/>
              <w:bidi w:val="0"/>
              <w:adjustRightInd/>
              <w:snapToGrid/>
              <w:spacing w:line="570" w:lineRule="exact"/>
              <w:ind w:left="0" w:leftChars="0"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优势证据</w:t>
            </w:r>
          </w:p>
        </w:tc>
        <w:tc>
          <w:tcPr>
            <w:tcW w:w="3402" w:type="dxa"/>
            <w:tcBorders>
              <w:top w:val="nil"/>
              <w:left w:val="nil"/>
              <w:bottom w:val="single" w:color="auto" w:sz="4" w:space="0"/>
              <w:right w:val="single" w:color="auto" w:sz="4" w:space="0"/>
            </w:tcBorders>
            <w:noWrap/>
            <w:vAlign w:val="center"/>
          </w:tcPr>
          <w:p>
            <w:pPr>
              <w:pStyle w:val="5"/>
              <w:keepLines w:val="0"/>
              <w:pageBreakBefore w:val="0"/>
              <w:widowControl w:val="0"/>
              <w:kinsoku/>
              <w:wordWrap/>
              <w:overflowPunct/>
              <w:topLinePunct w:val="0"/>
              <w:autoSpaceDE/>
              <w:autoSpaceDN/>
              <w:bidi w:val="0"/>
              <w:adjustRightInd/>
              <w:snapToGrid/>
              <w:spacing w:line="570" w:lineRule="exact"/>
              <w:ind w:left="0" w:leftChars="0"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排除合理怀疑</w:t>
            </w:r>
          </w:p>
        </w:tc>
      </w:tr>
    </w:tbl>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此种割裂引发双重阻碍：其一，证据转化困境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行政执法中基于过错推定的证据如未查验供货资质</w:t>
      </w:r>
      <w:r>
        <w:rPr>
          <w:rFonts w:hint="default" w:ascii="Times New Roman" w:hAnsi="Times New Roman" w:eastAsia="仿宋_GB2312" w:cs="Times New Roman"/>
          <w:sz w:val="32"/>
          <w:szCs w:val="32"/>
          <w:lang w:val="en-US" w:eastAsia="zh-CN"/>
        </w:rPr>
        <w:t>等，</w:t>
      </w:r>
      <w:r>
        <w:rPr>
          <w:rFonts w:hint="default" w:ascii="Times New Roman" w:hAnsi="Times New Roman" w:eastAsia="仿宋_GB2312" w:cs="Times New Roman"/>
          <w:sz w:val="32"/>
          <w:szCs w:val="32"/>
        </w:rPr>
        <w:t>难以证明刑事故意；其二，证明梯度断层</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行政“优势证据”与刑事“排除合理怀疑”标准存在鸿沟，二者的证明标准不同。本质矛盾在于行政法为效率采客观归责模式，而刑法为保障人权坚守主观责任原则，此时需证明行为人对药品可能导致的健康风险的认知，证明难度增</w:t>
      </w:r>
      <w:r>
        <w:rPr>
          <w:rFonts w:hint="default" w:ascii="Times New Roman" w:hAnsi="Times New Roman" w:eastAsia="仿宋_GB2312" w:cs="Times New Roman"/>
          <w:sz w:val="32"/>
          <w:szCs w:val="32"/>
          <w:lang w:val="en-US" w:eastAsia="zh-CN"/>
        </w:rPr>
        <w:t>加</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其</w:t>
      </w:r>
      <w:r>
        <w:rPr>
          <w:rFonts w:hint="default" w:ascii="Times New Roman" w:hAnsi="Times New Roman" w:eastAsia="仿宋_GB2312" w:cs="Times New Roman"/>
          <w:sz w:val="32"/>
          <w:szCs w:val="32"/>
        </w:rPr>
        <w:t>深层症结在于保护范围存在差异</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行政法覆盖全部形式违法行为，刑法应仅规制实质意义上的不法行为；同时二者的责任性质混淆，行政处罚侧重秩序恢复，刑罚强调报应与预防。</w:t>
      </w:r>
    </w:p>
    <w:p>
      <w:pPr>
        <w:pStyle w:val="2"/>
        <w:keepNext/>
        <w:keepLines w:val="0"/>
        <w:pageBreakBefore w:val="0"/>
        <w:widowControl w:val="0"/>
        <w:kinsoku/>
        <w:wordWrap/>
        <w:overflowPunct/>
        <w:topLinePunct w:val="0"/>
        <w:autoSpaceDE/>
        <w:autoSpaceDN/>
        <w:bidi w:val="0"/>
        <w:adjustRightInd/>
        <w:snapToGrid/>
        <w:spacing w:before="0" w:line="570" w:lineRule="exact"/>
        <w:ind w:left="0" w:leftChars="0" w:firstLine="640" w:firstLineChars="200"/>
        <w:jc w:val="both"/>
        <w:textAlignment w:val="auto"/>
        <w:rPr>
          <w:rFonts w:hint="eastAsia" w:ascii="黑体" w:hAnsi="黑体" w:eastAsia="黑体" w:cs="黑体"/>
          <w:bCs w:val="0"/>
          <w:kern w:val="2"/>
          <w:sz w:val="32"/>
          <w:szCs w:val="32"/>
        </w:rPr>
      </w:pPr>
      <w:r>
        <w:rPr>
          <w:rFonts w:hint="eastAsia" w:ascii="黑体" w:hAnsi="黑体" w:cs="黑体"/>
          <w:bCs w:val="0"/>
          <w:kern w:val="2"/>
          <w:sz w:val="32"/>
          <w:szCs w:val="32"/>
          <w:lang w:eastAsia="zh-CN"/>
        </w:rPr>
        <w:t>三</w:t>
      </w:r>
      <w:r>
        <w:rPr>
          <w:rFonts w:hint="eastAsia" w:ascii="黑体" w:hAnsi="黑体" w:eastAsia="黑体" w:cs="黑体"/>
          <w:bCs w:val="0"/>
          <w:kern w:val="2"/>
          <w:sz w:val="32"/>
          <w:szCs w:val="32"/>
        </w:rPr>
        <w:t>、假药认定的双层标准构建：形式与实质的规范协调</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在药品安全治理的法治框架内，假药的精准认定是衔接行政监管与刑事司法的关键枢纽。伴随2019年</w:t>
      </w:r>
      <w:r>
        <w:rPr>
          <w:rFonts w:hint="default" w:ascii="Times New Roman" w:hAnsi="Times New Roman" w:eastAsia="仿宋_GB2312" w:cs="Times New Roman"/>
          <w:sz w:val="32"/>
          <w:szCs w:val="32"/>
          <w:lang w:eastAsia="zh-CN"/>
        </w:rPr>
        <w:t>《中华人民共和国药品管理法》</w:t>
      </w:r>
      <w:r>
        <w:rPr>
          <w:rFonts w:hint="default" w:ascii="Times New Roman" w:hAnsi="Times New Roman" w:eastAsia="仿宋_GB2312" w:cs="Times New Roman"/>
          <w:sz w:val="32"/>
          <w:szCs w:val="32"/>
        </w:rPr>
        <w:t>对假药定义的重大修订以及</w:t>
      </w:r>
      <w:r>
        <w:rPr>
          <w:rFonts w:hint="default" w:ascii="Times New Roman" w:hAnsi="Times New Roman" w:eastAsia="仿宋_GB2312" w:cs="Times New Roman"/>
          <w:sz w:val="32"/>
          <w:szCs w:val="32"/>
          <w:lang w:eastAsia="zh-CN"/>
        </w:rPr>
        <w:t>《中华人民共和国刑法修正案（十一）》</w:t>
      </w:r>
      <w:r>
        <w:rPr>
          <w:rFonts w:hint="default" w:ascii="Times New Roman" w:hAnsi="Times New Roman" w:eastAsia="仿宋_GB2312" w:cs="Times New Roman"/>
          <w:sz w:val="32"/>
          <w:szCs w:val="32"/>
        </w:rPr>
        <w:t>对生产、销售假药罪空白罪状的删除，假药认定标准体系亟待理论廓清与实践重构。单一的行政认定标准难以兼顾药品监管的专业效率与刑事制裁的实质正义需求，而纯粹的刑法实质判断又可能架空前置法的秩序维护功能。因此，构建一套以形式标准为基础、以实质标准为补充，二者有机协调的“双层标准”体系，</w:t>
      </w:r>
      <w:r>
        <w:rPr>
          <w:rFonts w:hint="default" w:ascii="Times New Roman" w:hAnsi="Times New Roman" w:eastAsia="仿宋_GB2312" w:cs="Times New Roman"/>
          <w:sz w:val="32"/>
          <w:szCs w:val="32"/>
          <w:lang w:val="en-US" w:eastAsia="zh-CN"/>
        </w:rPr>
        <w:t>渐趋</w:t>
      </w:r>
      <w:r>
        <w:rPr>
          <w:rFonts w:hint="default" w:ascii="Times New Roman" w:hAnsi="Times New Roman" w:eastAsia="仿宋_GB2312" w:cs="Times New Roman"/>
          <w:sz w:val="32"/>
          <w:szCs w:val="32"/>
        </w:rPr>
        <w:t>成为破解假药认定难题的理性选择。该体系旨在平衡行政专业判断的权威性与刑法独立法益保护的终极性，实现药品安全管理效率与公民生命健康权利保障的有机统一。</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eastAsia="zh-CN"/>
        </w:rPr>
        <w:t>（一）</w:t>
      </w:r>
      <w:r>
        <w:rPr>
          <w:rFonts w:hint="default" w:ascii="Times New Roman" w:hAnsi="Times New Roman" w:eastAsia="仿宋_GB2312" w:cs="Times New Roman"/>
          <w:b/>
          <w:bCs/>
          <w:sz w:val="32"/>
          <w:szCs w:val="32"/>
        </w:rPr>
        <w:t>形式标准：行政法的基础性参照</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假药认定的形式标准核心在于以</w:t>
      </w:r>
      <w:r>
        <w:rPr>
          <w:rFonts w:hint="default" w:ascii="Times New Roman" w:hAnsi="Times New Roman" w:eastAsia="仿宋_GB2312" w:cs="Times New Roman"/>
          <w:sz w:val="32"/>
          <w:szCs w:val="32"/>
          <w:lang w:eastAsia="zh-CN"/>
        </w:rPr>
        <w:t>《中华人民共和国药品管理法》</w:t>
      </w:r>
      <w:r>
        <w:rPr>
          <w:rFonts w:hint="default" w:ascii="Times New Roman" w:hAnsi="Times New Roman" w:eastAsia="仿宋_GB2312" w:cs="Times New Roman"/>
          <w:sz w:val="32"/>
          <w:szCs w:val="32"/>
        </w:rPr>
        <w:t>所构建的行政规范体系为基本依据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这一标准的正当性根基，深植于药品监管活动固有的高度专业性特质，以及现代法治国家所普遍遵循的法秩序统一性原理。其不仅是行政权运行的规范表达，更为刑事司法提供了不可或缺的基础性判断素材。</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药品检验的高度技术性特征，决定了行政机关在假药真伪判定上具有无可替代的专业判断优势。药品监督管理部门依托其系统内设的专业检验机构与经过严格训练的技术人员，依据《中华人民共和国药典》等强制性国家标准开展检测，能为假药认定提供具有公信力的科学结论。这种基于专业分工形成的判断优势，使行政认定在刑事司法程序中天然具备重要的参考价值。司法机关在甄别药品性质时，对合法行政程序形成的专业意见予以必要尊重，符合行政效率原则与司法经济原则的双重要求。</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形式标准的确立显著优化了行刑衔接中的证据转换机制，体现出重要的程序价值。药品执法过程中形成的现场检查笔录、抽样记录、检验检测报告、查封扣押清单等证据材料，在满足法定形式要件与取证程序合法的前提下，可直接作为刑事诉讼中的定罪依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此做法</w:t>
      </w:r>
      <w:r>
        <w:rPr>
          <w:rFonts w:hint="default" w:ascii="Times New Roman" w:hAnsi="Times New Roman" w:eastAsia="仿宋_GB2312" w:cs="Times New Roman"/>
          <w:sz w:val="32"/>
          <w:szCs w:val="32"/>
        </w:rPr>
        <w:t>有效避免了司法机关对专业事项的重复调查，降低了司法成本</w:t>
      </w:r>
      <w:r>
        <w:rPr>
          <w:rFonts w:hint="default" w:ascii="Times New Roman" w:hAnsi="Times New Roman" w:eastAsia="仿宋_GB2312" w:cs="Times New Roman"/>
          <w:sz w:val="32"/>
          <w:szCs w:val="32"/>
          <w:lang w:val="en-US" w:eastAsia="zh-CN"/>
        </w:rPr>
        <w:t>并</w:t>
      </w:r>
      <w:r>
        <w:rPr>
          <w:rFonts w:hint="default" w:ascii="Times New Roman" w:hAnsi="Times New Roman" w:eastAsia="仿宋_GB2312" w:cs="Times New Roman"/>
          <w:sz w:val="32"/>
          <w:szCs w:val="32"/>
        </w:rPr>
        <w:t>保障了案件事实认定所依赖的证据链条的完整性与连贯性。</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法秩序统一性原理为假药认定的形式标准赋予了深层次的规范价值。法体系内部协调要求同一法律概念在不同部门法领域应保持核心内涵的相对一致性，以避免法律适用中的冲突与混乱。行政法作为规制药品生产、经营、使用的前置性规范，其对“假药”的界定逻辑</w:t>
      </w:r>
      <w:r>
        <w:rPr>
          <w:rFonts w:hint="default" w:ascii="Times New Roman" w:hAnsi="Times New Roman" w:eastAsia="仿宋_GB2312" w:cs="Times New Roman"/>
          <w:sz w:val="32"/>
          <w:szCs w:val="32"/>
          <w:lang w:val="en-US" w:eastAsia="zh-CN"/>
        </w:rPr>
        <w:t>也将影响</w:t>
      </w:r>
      <w:r>
        <w:rPr>
          <w:rFonts w:hint="default" w:ascii="Times New Roman" w:hAnsi="Times New Roman" w:eastAsia="仿宋_GB2312" w:cs="Times New Roman"/>
          <w:sz w:val="32"/>
          <w:szCs w:val="32"/>
        </w:rPr>
        <w:t>刑法中相关概念的理解。2019年修订的</w:t>
      </w:r>
      <w:r>
        <w:rPr>
          <w:rFonts w:hint="default" w:ascii="Times New Roman" w:hAnsi="Times New Roman" w:eastAsia="仿宋_GB2312" w:cs="Times New Roman"/>
          <w:sz w:val="32"/>
          <w:szCs w:val="32"/>
          <w:lang w:eastAsia="zh-CN"/>
        </w:rPr>
        <w:t>《中华人民共和国药品管理法》</w:t>
      </w:r>
      <w:r>
        <w:rPr>
          <w:rFonts w:hint="default" w:ascii="Times New Roman" w:hAnsi="Times New Roman" w:eastAsia="仿宋_GB2312" w:cs="Times New Roman"/>
          <w:sz w:val="32"/>
          <w:szCs w:val="32"/>
        </w:rPr>
        <w:t>对假药定义进行了实质化改造，将假药明确限缩为“药品所含成份与国家药品标准规定的成份不符”“以非药品冒充药品或者以他种药品冒充此种药品”“变质的药品”以及“药品所标明的适应症或者功能主治超出规定范围”四种法定情形，同时删除了原法中争议较大的“按假药论处”</w:t>
      </w:r>
      <w:r>
        <w:rPr>
          <w:rFonts w:hint="default" w:ascii="Times New Roman" w:hAnsi="Times New Roman" w:eastAsia="仿宋_GB2312" w:cs="Times New Roman"/>
          <w:sz w:val="32"/>
          <w:szCs w:val="32"/>
          <w:lang w:val="en-US" w:eastAsia="zh-CN"/>
        </w:rPr>
        <w:t>这一</w:t>
      </w:r>
      <w:r>
        <w:rPr>
          <w:rFonts w:hint="default" w:ascii="Times New Roman" w:hAnsi="Times New Roman" w:eastAsia="仿宋_GB2312" w:cs="Times New Roman"/>
          <w:sz w:val="32"/>
          <w:szCs w:val="32"/>
        </w:rPr>
        <w:t>拟制性条款。这一立法转向，摒弃了纯粹基于审批状态的形式化认定模式，转而强调药品本身的物质属性与实际功能，为刑法中假药概念的实质化理解提供了更为科学、严谨的规范前提，奠定了行刑衔接的良性基础。</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在司法适用层面，形式标准遵循“推定有效”原则运作。当药品监督管理部门依法定职权与程序出具假药认定意见时，司法机关在原则上应予采纳，</w:t>
      </w:r>
      <w:r>
        <w:rPr>
          <w:rFonts w:hint="default" w:ascii="Times New Roman" w:hAnsi="Times New Roman" w:eastAsia="仿宋_GB2312" w:cs="Times New Roman"/>
          <w:sz w:val="32"/>
          <w:szCs w:val="32"/>
          <w:lang w:val="en-US" w:eastAsia="zh-CN"/>
        </w:rPr>
        <w:t>也即</w:t>
      </w:r>
      <w:r>
        <w:rPr>
          <w:rFonts w:hint="default" w:ascii="Times New Roman" w:hAnsi="Times New Roman" w:eastAsia="仿宋_GB2312" w:cs="Times New Roman"/>
          <w:sz w:val="32"/>
          <w:szCs w:val="32"/>
        </w:rPr>
        <w:t>承认其初步证明效力。但此种推定</w:t>
      </w:r>
      <w:r>
        <w:rPr>
          <w:rFonts w:hint="default" w:ascii="Times New Roman" w:hAnsi="Times New Roman" w:eastAsia="仿宋_GB2312" w:cs="Times New Roman"/>
          <w:sz w:val="32"/>
          <w:szCs w:val="32"/>
          <w:lang w:val="en-US" w:eastAsia="zh-CN"/>
        </w:rPr>
        <w:t>亦存在反证机制这一例外</w:t>
      </w:r>
      <w:r>
        <w:rPr>
          <w:rFonts w:hint="default" w:ascii="Times New Roman" w:hAnsi="Times New Roman" w:eastAsia="仿宋_GB2312" w:cs="Times New Roman"/>
          <w:sz w:val="32"/>
          <w:szCs w:val="32"/>
        </w:rPr>
        <w:t>，即允许当事人（通常是被告人）通过提出相反证据来质疑乃至推翻该行政认定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这为后续刑法层面的实质判断预留了必要的介入空间。形式标准的确立与应用，既是对行政机关专业权威与首次判断权的尊重，也是对法秩序内在统一性的维护，在双层标准体系中发挥着不可或缺的基础性参照功能。</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eastAsia="zh-CN"/>
        </w:rPr>
        <w:t>（二）</w:t>
      </w:r>
      <w:r>
        <w:rPr>
          <w:rFonts w:hint="default" w:ascii="Times New Roman" w:hAnsi="Times New Roman" w:eastAsia="仿宋_GB2312" w:cs="Times New Roman"/>
          <w:b/>
          <w:bCs/>
          <w:sz w:val="32"/>
          <w:szCs w:val="32"/>
        </w:rPr>
        <w:t>实质标准：刑法的独立性判断</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刑法作为保障法</w:t>
      </w:r>
      <w:r>
        <w:rPr>
          <w:rFonts w:hint="default"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rPr>
        <w:t>独特定位决定了其在假药认定上不能简单依附于行政法的形式结论，而必须在形式标准基础上，构建一套独立的实质判断标准。刑法的独立性判断聚焦于法益侵害的本质，其核心在于审查涉案药品是否具有实质的法益侵害危险性，具体体现在法益保护目的、危险实质判断与反证机制三个维度。</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刑法介入假药规制的根本价值在于对公民生命健康法益的保护，而非仅仅维护药品管理秩序本身</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而</w:t>
      </w:r>
      <w:r>
        <w:rPr>
          <w:rFonts w:hint="default" w:ascii="Times New Roman" w:hAnsi="Times New Roman" w:eastAsia="仿宋_GB2312" w:cs="Times New Roman"/>
          <w:sz w:val="32"/>
          <w:szCs w:val="32"/>
        </w:rPr>
        <w:t>行政法的重心在于确保药品市场的有序运行和监管效能的实现，</w:t>
      </w:r>
      <w:r>
        <w:rPr>
          <w:rFonts w:hint="default" w:ascii="Times New Roman" w:hAnsi="Times New Roman" w:eastAsia="仿宋_GB2312" w:cs="Times New Roman"/>
          <w:sz w:val="32"/>
          <w:szCs w:val="32"/>
          <w:lang w:val="en-US" w:eastAsia="zh-CN"/>
        </w:rPr>
        <w:t>其</w:t>
      </w:r>
      <w:r>
        <w:rPr>
          <w:rFonts w:hint="default" w:ascii="Times New Roman" w:hAnsi="Times New Roman" w:eastAsia="仿宋_GB2312" w:cs="Times New Roman"/>
          <w:sz w:val="32"/>
          <w:szCs w:val="32"/>
        </w:rPr>
        <w:t>正当性主要源于对管理秩序的违反。相较之下，刑法具有鲜明的“法益关联性”，其正当性根基在于行为对公民生命、健康等具体法益造成了现实或紧迫的危险。正是基于此种价值取向的差异，</w:t>
      </w:r>
      <w:r>
        <w:rPr>
          <w:rFonts w:hint="default" w:ascii="Times New Roman" w:hAnsi="Times New Roman" w:eastAsia="仿宋_GB2312" w:cs="Times New Roman"/>
          <w:sz w:val="32"/>
          <w:szCs w:val="32"/>
          <w:lang w:eastAsia="zh-CN"/>
        </w:rPr>
        <w:t>《中华人民共和国刑法修正案（十一）》</w:t>
      </w:r>
      <w:r>
        <w:rPr>
          <w:rFonts w:hint="default" w:ascii="Times New Roman" w:hAnsi="Times New Roman" w:eastAsia="仿宋_GB2312" w:cs="Times New Roman"/>
          <w:sz w:val="32"/>
          <w:szCs w:val="32"/>
        </w:rPr>
        <w:t>删除了原第141条第2款“本条所称假药，是指依照《中华人民共和国药品管理法》的规定属于假药和按假药处理的药品、非药品”这一典型的空白罪状表述。“陆勇代购抗癌药案”的最终不起诉决定，以及后续司法理念与相关司法解释的调整，正是这一价值取向在实践中的生动体现与必然结果。</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实质标准的核心内容与操作重心在于对假药“足以严重危害人体健康”这一实质性危险的独立判断</w:t>
      </w:r>
      <w:r>
        <w:rPr>
          <w:rFonts w:hint="default" w:ascii="Times New Roman" w:hAnsi="Times New Roman" w:eastAsia="仿宋_GB2312" w:cs="Times New Roman"/>
          <w:sz w:val="32"/>
          <w:szCs w:val="32"/>
          <w:lang w:val="en-US"/>
        </w:rPr>
        <w:t>,</w:t>
      </w:r>
      <w:r>
        <w:rPr>
          <w:rFonts w:hint="default" w:ascii="Times New Roman" w:hAnsi="Times New Roman" w:eastAsia="仿宋_GB2312" w:cs="Times New Roman"/>
          <w:sz w:val="32"/>
          <w:szCs w:val="32"/>
        </w:rPr>
        <w:t>刑法第141条明确将“足以严重危害人体健康”设定为生产、销售假药罪的基本构成要件要素。此危险判断绝非对行政认定结论的简单确认，而要求司法机关立足于药品本身的物质属性、作用机理及使用情境，进行客观、全面的综合评估。其审查要点应</w:t>
      </w:r>
      <w:r>
        <w:rPr>
          <w:rFonts w:hint="default" w:ascii="Times New Roman" w:hAnsi="Times New Roman" w:eastAsia="仿宋_GB2312" w:cs="Times New Roman"/>
          <w:sz w:val="32"/>
          <w:szCs w:val="32"/>
          <w:lang w:val="en-US" w:eastAsia="zh-CN"/>
        </w:rPr>
        <w:t>在于</w:t>
      </w:r>
      <w:r>
        <w:rPr>
          <w:rFonts w:hint="default" w:ascii="Times New Roman" w:hAnsi="Times New Roman" w:eastAsia="仿宋_GB2312" w:cs="Times New Roman"/>
          <w:sz w:val="32"/>
          <w:szCs w:val="32"/>
        </w:rPr>
        <w:t>药品是否实际缺失有效治疗成分或其有效成分已发生变质失效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药品中是否非法添加或混入已知对健康具有急慢性毒害作用的物质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使用该药品是否极可能会延误诊治或者引发其他严重健康损害后果等实质危害层面。2022年</w:t>
      </w:r>
      <w:r>
        <w:rPr>
          <w:rFonts w:hint="default" w:ascii="Times New Roman" w:hAnsi="Times New Roman" w:eastAsia="仿宋_GB2312" w:cs="Times New Roman"/>
          <w:sz w:val="32"/>
          <w:szCs w:val="32"/>
          <w:lang w:val="en-US" w:eastAsia="zh-CN"/>
        </w:rPr>
        <w:t>两高</w:t>
      </w:r>
      <w:r>
        <w:rPr>
          <w:rFonts w:hint="default" w:ascii="Times New Roman" w:hAnsi="Times New Roman" w:eastAsia="仿宋_GB2312" w:cs="Times New Roman"/>
          <w:sz w:val="32"/>
          <w:szCs w:val="32"/>
        </w:rPr>
        <w:t>联合发布的《关于办理危害药品安全刑事案件适用法律若干问题的解释》</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以下简称《解释》</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第十八条明确将“未造成他人轻伤以上伤害后果或延误诊治”且符合特定情形（如药品质量符合要求、购买渠道合理等）作为出罪事由予以规定，正是对“危险实质判断”理念的规范化确认与具体指引，凸显了刑法对实害或具体危险的关注。</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保障个案正义与避免不当入罪，实质标准内在有设置了反证机制在刑事程序中，当公诉机关依据行政认定意见确立了假药存在的形式推定后，被告人依法享有提出反证的权利。其可通过提交具有资质的第三方机构出具的药品检验合格报告、权威医学文献记载、真实患者的临床使用效果证明、药物成分分析报告等客观证据，来证明争议药品不具备刑法所要求的“足以严重危害人体健康”的实质危险性。司法机关对被告人提交的反证材料负有审慎审查的义务，在涉及高度专业性问题时，应充分运用刑事诉讼法确立的专家辅助人制度，邀请相关领域专家出庭或提供书面意见，辅助法官形成科学心证。</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实质标准遵循“双重检验”逻辑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第一步检验形式符合性，即审查涉案药品是否属于</w:t>
      </w:r>
      <w:r>
        <w:rPr>
          <w:rFonts w:hint="default" w:ascii="Times New Roman" w:hAnsi="Times New Roman" w:eastAsia="仿宋_GB2312" w:cs="Times New Roman"/>
          <w:sz w:val="32"/>
          <w:szCs w:val="32"/>
          <w:lang w:eastAsia="zh-CN"/>
        </w:rPr>
        <w:t>《中华人民共和国药品管理法》</w:t>
      </w:r>
      <w:r>
        <w:rPr>
          <w:rFonts w:hint="default" w:ascii="Times New Roman" w:hAnsi="Times New Roman" w:eastAsia="仿宋_GB2312" w:cs="Times New Roman"/>
          <w:sz w:val="32"/>
          <w:szCs w:val="32"/>
        </w:rPr>
        <w:t>明确列举的四种假药情形</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第二步检验实质危险性，即独立判断该药品是否满足</w:t>
      </w:r>
      <w:r>
        <w:rPr>
          <w:rFonts w:hint="default" w:ascii="Times New Roman" w:hAnsi="Times New Roman" w:eastAsia="仿宋_GB2312" w:cs="Times New Roman"/>
          <w:sz w:val="32"/>
          <w:szCs w:val="32"/>
          <w:lang w:eastAsia="zh-CN"/>
        </w:rPr>
        <w:t>《中华人民共和国刑法》</w:t>
      </w:r>
      <w:r>
        <w:rPr>
          <w:rFonts w:hint="default" w:ascii="Times New Roman" w:hAnsi="Times New Roman" w:eastAsia="仿宋_GB2312" w:cs="Times New Roman"/>
          <w:sz w:val="32"/>
          <w:szCs w:val="32"/>
        </w:rPr>
        <w:t>第141条所要求的“足以严重危害人体健康”的要件。只有当涉案药品同时符合形式与实质双重标准时，才能认定为刑法意义上的假药，方能适用刑罚制裁。这种双层递进的检验机制，一方面保持了刑法与行政法在基础概念上的必要衔接，尊重了行政专业判断；另一方面则坚守了刑法基于自身价值和属性进行终局性、独立性判断，是实现药品安全领域刑事个案正义的规范保障。</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eastAsia="zh-CN"/>
        </w:rPr>
        <w:t>（三）</w:t>
      </w:r>
      <w:r>
        <w:rPr>
          <w:rFonts w:hint="default" w:ascii="Times New Roman" w:hAnsi="Times New Roman" w:eastAsia="仿宋_GB2312" w:cs="Times New Roman"/>
          <w:b/>
          <w:bCs/>
          <w:sz w:val="32"/>
          <w:szCs w:val="32"/>
        </w:rPr>
        <w:t>形式标准与实质标准的体系协调</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假药认定的形式标准与实质标准，并非割裂或相互排斥的对立</w:t>
      </w:r>
      <w:r>
        <w:rPr>
          <w:rFonts w:hint="default" w:ascii="Times New Roman" w:hAnsi="Times New Roman" w:eastAsia="仿宋_GB2312" w:cs="Times New Roman"/>
          <w:sz w:val="32"/>
          <w:szCs w:val="32"/>
          <w:lang w:val="en-US" w:eastAsia="zh-CN"/>
        </w:rPr>
        <w:t>关系</w:t>
      </w:r>
      <w:r>
        <w:rPr>
          <w:rFonts w:hint="default" w:ascii="Times New Roman" w:hAnsi="Times New Roman" w:eastAsia="仿宋_GB2312" w:cs="Times New Roman"/>
          <w:sz w:val="32"/>
          <w:szCs w:val="32"/>
        </w:rPr>
        <w:t>，而是</w:t>
      </w:r>
      <w:r>
        <w:rPr>
          <w:rFonts w:hint="default" w:ascii="Times New Roman" w:hAnsi="Times New Roman" w:eastAsia="仿宋_GB2312" w:cs="Times New Roman"/>
          <w:sz w:val="32"/>
          <w:szCs w:val="32"/>
          <w:lang w:val="en-US" w:eastAsia="zh-CN"/>
        </w:rPr>
        <w:t>形成了</w:t>
      </w:r>
      <w:r>
        <w:rPr>
          <w:rFonts w:hint="default" w:ascii="Times New Roman" w:hAnsi="Times New Roman" w:eastAsia="仿宋_GB2312" w:cs="Times New Roman"/>
          <w:sz w:val="32"/>
          <w:szCs w:val="32"/>
        </w:rPr>
        <w:t>相互依存、动态协调的有机规范体系</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形式标准提供基础框架与效率支撑，实质标准则注入价值灵魂与正义保障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二者的协调运作是双层标准体系发挥预期功能的核心关键。</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在适用顺序上，形式标准具有程序优先性。司法机关在审理涉假药案件时，应首先将</w:t>
      </w:r>
      <w:r>
        <w:rPr>
          <w:rFonts w:hint="default" w:ascii="Times New Roman" w:hAnsi="Times New Roman" w:eastAsia="仿宋_GB2312" w:cs="Times New Roman"/>
          <w:sz w:val="32"/>
          <w:szCs w:val="32"/>
          <w:lang w:eastAsia="zh-CN"/>
        </w:rPr>
        <w:t>《中华人民共和国药品管理法》</w:t>
      </w:r>
      <w:r>
        <w:rPr>
          <w:rFonts w:hint="default" w:ascii="Times New Roman" w:hAnsi="Times New Roman" w:eastAsia="仿宋_GB2312" w:cs="Times New Roman"/>
          <w:sz w:val="32"/>
          <w:szCs w:val="32"/>
        </w:rPr>
        <w:t>确立的四种法定情形作为筛查基准，检验涉案药品形式上是否符合行政法关于假药的规范定义。唯有当行政认定本身存在明显且重大的瑕疵如检验程序严重违法、认定依据明显不足或与公认的科学常识、基本生活经验剧烈冲突，或其结论可能导致刑法适用的极端不公平时，刑事司法方有充分理由启动并倚重独立的实质危险判断。这种“行政认定优先，司法审查保留”的模式，兼顾了效率与公正的双重价值。</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在效力终局性层面，实质标准则具有优越地位。当经过合法程序形成的行政假药认定结论，与刑法基于法益保护目的进行的实质危险判断发生无法调和的</w:t>
      </w:r>
      <w:r>
        <w:rPr>
          <w:rFonts w:hint="default" w:ascii="Times New Roman" w:hAnsi="Times New Roman" w:eastAsia="仿宋_GB2312" w:cs="Times New Roman"/>
          <w:sz w:val="32"/>
          <w:szCs w:val="32"/>
          <w:lang w:val="en-US" w:eastAsia="zh-CN"/>
        </w:rPr>
        <w:t>矛盾</w:t>
      </w:r>
      <w:r>
        <w:rPr>
          <w:rFonts w:hint="default" w:ascii="Times New Roman" w:hAnsi="Times New Roman" w:eastAsia="仿宋_GB2312" w:cs="Times New Roman"/>
          <w:sz w:val="32"/>
          <w:szCs w:val="32"/>
        </w:rPr>
        <w:t>时，刑法的判断应具有终局决定性效力。如所谓的“救命药”问题：对于未获批准进口，但经医学证明疗效确切、安全性可控，且为患者迫切需要的境外合法药品，即使因违反</w:t>
      </w:r>
      <w:r>
        <w:rPr>
          <w:rFonts w:hint="default" w:ascii="Times New Roman" w:hAnsi="Times New Roman" w:eastAsia="仿宋_GB2312" w:cs="Times New Roman"/>
          <w:sz w:val="32"/>
          <w:szCs w:val="32"/>
          <w:lang w:eastAsia="zh-CN"/>
        </w:rPr>
        <w:t>《中华人民共和国药品管理法》</w:t>
      </w:r>
      <w:r>
        <w:rPr>
          <w:rFonts w:hint="default" w:ascii="Times New Roman" w:hAnsi="Times New Roman" w:eastAsia="仿宋_GB2312" w:cs="Times New Roman"/>
          <w:sz w:val="32"/>
          <w:szCs w:val="32"/>
        </w:rPr>
        <w:t>关于药品进口审批的规定而被认定为行政法上的假药，刑法也应基于对公民生命健康法益无实质危害甚至有益的价值判断，不以刑罚苛责</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以法益保护与实质危险为核心的刑法独立判断，是确保苛以刑罚的正当性基础与个案正义的起点。</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在证明责任的分配上，双层标准体系呈现为结构化的“推定</w:t>
      </w:r>
      <w:r>
        <w:rPr>
          <w:rFonts w:hint="default" w:ascii="Times New Roman" w:hAnsi="Times New Roman" w:eastAsia="仿宋_GB2312" w:cs="Times New Roman"/>
          <w:sz w:val="32"/>
          <w:szCs w:val="32"/>
          <w:lang w:val="en-US"/>
        </w:rPr>
        <w:t>-</w:t>
      </w:r>
      <w:r>
        <w:rPr>
          <w:rFonts w:hint="default" w:ascii="Times New Roman" w:hAnsi="Times New Roman" w:eastAsia="仿宋_GB2312" w:cs="Times New Roman"/>
          <w:sz w:val="32"/>
          <w:szCs w:val="32"/>
        </w:rPr>
        <w:t>反证”机制。基于诉讼效率与打击犯罪的现实需求</w:t>
      </w:r>
      <w:r>
        <w:rPr>
          <w:rFonts w:hint="default" w:ascii="Times New Roman" w:hAnsi="Times New Roman" w:eastAsia="仿宋_GB2312" w:cs="Times New Roman"/>
          <w:sz w:val="32"/>
          <w:szCs w:val="32"/>
          <w:lang w:val="en-US" w:eastAsia="zh-CN"/>
        </w:rPr>
        <w:t>以及</w:t>
      </w:r>
      <w:r>
        <w:rPr>
          <w:rFonts w:hint="default" w:ascii="Times New Roman" w:hAnsi="Times New Roman" w:eastAsia="仿宋_GB2312" w:cs="Times New Roman"/>
          <w:sz w:val="32"/>
          <w:szCs w:val="32"/>
        </w:rPr>
        <w:t>考虑</w:t>
      </w:r>
      <w:r>
        <w:rPr>
          <w:rFonts w:hint="default" w:ascii="Times New Roman" w:hAnsi="Times New Roman" w:eastAsia="仿宋_GB2312" w:cs="Times New Roman"/>
          <w:sz w:val="32"/>
          <w:szCs w:val="32"/>
          <w:lang w:val="en-US" w:eastAsia="zh-CN"/>
        </w:rPr>
        <w:t>到</w:t>
      </w:r>
      <w:r>
        <w:rPr>
          <w:rFonts w:hint="default" w:ascii="Times New Roman" w:hAnsi="Times New Roman" w:eastAsia="仿宋_GB2312" w:cs="Times New Roman"/>
          <w:sz w:val="32"/>
          <w:szCs w:val="32"/>
        </w:rPr>
        <w:t>控方证明特定专业事项的现实困难</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公诉机关通常只需完成初始的证明责任：提供合法有效的行政假药认定意见，证明涉案药品符合</w:t>
      </w:r>
      <w:r>
        <w:rPr>
          <w:rFonts w:hint="default" w:ascii="Times New Roman" w:hAnsi="Times New Roman" w:eastAsia="仿宋_GB2312" w:cs="Times New Roman"/>
          <w:sz w:val="32"/>
          <w:szCs w:val="32"/>
          <w:lang w:eastAsia="zh-CN"/>
        </w:rPr>
        <w:t>《中华人民共和国药品管理法》</w:t>
      </w:r>
      <w:r>
        <w:rPr>
          <w:rFonts w:hint="default" w:ascii="Times New Roman" w:hAnsi="Times New Roman" w:eastAsia="仿宋_GB2312" w:cs="Times New Roman"/>
          <w:sz w:val="32"/>
          <w:szCs w:val="32"/>
        </w:rPr>
        <w:t>规定的假药形式特征，即可初步推定其符合刑法中假药的构成要件，犯罪成立的可能性得以建立。此时，证明责任发生转移，被告人若主张其行为不具刑事可罚性，则需承担提供证据责任</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必要时甚至是说服责任，提出能够证明该药品“不足以严重危害人体健康”甚至“有益健康”的相关证据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若被告人的反证达到法定的证明标准，则可有效推翻前述推定。</w:t>
      </w:r>
    </w:p>
    <w:p>
      <w:pPr>
        <w:pStyle w:val="2"/>
        <w:keepNext/>
        <w:keepLines w:val="0"/>
        <w:pageBreakBefore w:val="0"/>
        <w:widowControl w:val="0"/>
        <w:kinsoku/>
        <w:wordWrap/>
        <w:overflowPunct/>
        <w:topLinePunct w:val="0"/>
        <w:autoSpaceDE/>
        <w:autoSpaceDN/>
        <w:bidi w:val="0"/>
        <w:adjustRightInd/>
        <w:snapToGrid/>
        <w:spacing w:before="0" w:line="570" w:lineRule="exact"/>
        <w:ind w:left="0" w:leftChars="0" w:firstLine="640" w:firstLineChars="200"/>
        <w:jc w:val="both"/>
        <w:textAlignment w:val="auto"/>
        <w:rPr>
          <w:rFonts w:hint="eastAsia" w:ascii="黑体" w:hAnsi="黑体" w:eastAsia="黑体" w:cs="黑体"/>
          <w:bCs w:val="0"/>
          <w:kern w:val="2"/>
          <w:sz w:val="32"/>
          <w:szCs w:val="32"/>
        </w:rPr>
      </w:pPr>
      <w:r>
        <w:rPr>
          <w:rFonts w:hint="eastAsia" w:ascii="黑体" w:hAnsi="黑体" w:eastAsia="黑体" w:cs="黑体"/>
          <w:bCs w:val="0"/>
          <w:kern w:val="2"/>
          <w:sz w:val="32"/>
          <w:szCs w:val="32"/>
          <w:lang w:eastAsia="zh-CN"/>
        </w:rPr>
        <w:t>四</w:t>
      </w:r>
      <w:r>
        <w:rPr>
          <w:rFonts w:hint="eastAsia" w:ascii="黑体" w:hAnsi="黑体" w:eastAsia="黑体" w:cs="黑体"/>
          <w:bCs w:val="0"/>
          <w:kern w:val="2"/>
          <w:sz w:val="32"/>
          <w:szCs w:val="32"/>
        </w:rPr>
        <w:t>、主观明知的差异化认定及其司法进路</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eastAsia="zh-CN"/>
        </w:rPr>
        <w:t>（一）</w:t>
      </w:r>
      <w:r>
        <w:rPr>
          <w:rFonts w:hint="default" w:ascii="Times New Roman" w:hAnsi="Times New Roman" w:eastAsia="仿宋_GB2312" w:cs="Times New Roman"/>
          <w:b/>
          <w:bCs/>
          <w:sz w:val="32"/>
          <w:szCs w:val="32"/>
        </w:rPr>
        <w:t>行政法与刑法在主观明知认定上的规范分野</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行政法律规范与刑事法律规范在药品犯罪领域的主观认定呈现不同的设计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此差异植根于二者相异的立法价值取向与证明责任配置，形成了“行政过错推定”与“刑事故意证明”的二元格局。</w:t>
      </w:r>
    </w:p>
    <w:p>
      <w:pPr>
        <w:pStyle w:val="4"/>
        <w:keepNext/>
        <w:keepLines w:val="0"/>
        <w:pageBreakBefore w:val="0"/>
        <w:widowControl w:val="0"/>
        <w:numPr>
          <w:ilvl w:val="0"/>
          <w:numId w:val="0"/>
        </w:numPr>
        <w:kinsoku/>
        <w:wordWrap/>
        <w:overflowPunct/>
        <w:topLinePunct w:val="0"/>
        <w:autoSpaceDE/>
        <w:autoSpaceDN/>
        <w:bidi w:val="0"/>
        <w:adjustRightInd/>
        <w:snapToGrid/>
        <w:spacing w:before="0" w:line="570" w:lineRule="exact"/>
        <w:ind w:firstLine="640" w:firstLineChars="200"/>
        <w:textAlignment w:val="auto"/>
        <w:rPr>
          <w:rFonts w:hint="default" w:ascii="Times New Roman" w:hAnsi="Times New Roman" w:eastAsia="仿宋_GB2312" w:cs="Times New Roman"/>
          <w:bCs w:val="0"/>
          <w:kern w:val="2"/>
          <w:sz w:val="32"/>
          <w:szCs w:val="32"/>
        </w:rPr>
      </w:pPr>
      <w:r>
        <w:rPr>
          <w:rFonts w:hint="default" w:ascii="Times New Roman" w:hAnsi="Times New Roman" w:eastAsia="仿宋_GB2312" w:cs="Times New Roman"/>
          <w:bCs w:val="0"/>
          <w:kern w:val="2"/>
          <w:sz w:val="32"/>
          <w:szCs w:val="32"/>
          <w:lang w:val="en-US" w:eastAsia="zh-CN"/>
        </w:rPr>
        <w:t>1.</w:t>
      </w:r>
      <w:r>
        <w:rPr>
          <w:rFonts w:hint="default" w:ascii="Times New Roman" w:hAnsi="Times New Roman" w:eastAsia="仿宋_GB2312" w:cs="Times New Roman"/>
          <w:bCs w:val="0"/>
          <w:kern w:val="2"/>
          <w:sz w:val="32"/>
          <w:szCs w:val="32"/>
        </w:rPr>
        <w:t>行政法框架下的过错推定原则</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行政法律规范对主观要件的认定普遍采用过错推定原则</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该原则的核心在于：行为人如实施了违反药品管理秩序的行为，即推定其存在主观过错，除非行为人自行举证证明其已尽合理注意义务且无过错。此种证明责任倒置机制，源于行政法对药品安全风险进行高效预防性管控的内在需求</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通过降低行政机关的证明难度，显著提升了执法效能，为药品安全构筑了前端防线。</w:t>
      </w:r>
    </w:p>
    <w:p>
      <w:pPr>
        <w:pStyle w:val="5"/>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在具体适用层面，药品生产经营者若未能提供完整的进货查验记录、销售台账或质量检验文件，则视为未履行合理注意义务，可直接推定其存在主观过错。例如，对于销售未获批准文号药品的行为，行为人若不能证明已履行形式审查义务，行政机关即有权认定其主观过错并施以处罚。此种推定机制深刻体现了行政法“防患于未然”的规制逻辑，通过简化证明标准强化监管权威。</w:t>
      </w:r>
      <w:r>
        <w:rPr>
          <w:rFonts w:hint="default" w:ascii="Times New Roman" w:hAnsi="Times New Roman" w:eastAsia="仿宋_GB2312" w:cs="Times New Roman"/>
          <w:sz w:val="32"/>
          <w:szCs w:val="32"/>
          <w:lang w:val="en-US" w:eastAsia="zh-CN"/>
        </w:rPr>
        <w:t xml:space="preserve"> </w:t>
      </w:r>
    </w:p>
    <w:p>
      <w:pPr>
        <w:pStyle w:val="5"/>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default" w:ascii="Times New Roman" w:hAnsi="Times New Roman" w:eastAsia="仿宋_GB2312" w:cs="Times New Roman"/>
          <w:bCs w:val="0"/>
          <w:kern w:val="2"/>
          <w:sz w:val="32"/>
          <w:szCs w:val="32"/>
          <w:lang w:val="en-US" w:eastAsia="zh-CN" w:bidi="ar-SA"/>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bCs w:val="0"/>
          <w:kern w:val="2"/>
          <w:sz w:val="32"/>
          <w:szCs w:val="32"/>
          <w:lang w:val="en-US" w:eastAsia="zh-CN" w:bidi="ar-SA"/>
        </w:rPr>
        <w:t>刑法语境中的故意证明之严格要求</w:t>
      </w:r>
    </w:p>
    <w:p>
      <w:pPr>
        <w:pStyle w:val="5"/>
        <w:keepNext w:val="0"/>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相较于行政法，刑法对主观明知的认定设置了</w:t>
      </w:r>
      <w:r>
        <w:rPr>
          <w:rFonts w:hint="default" w:ascii="Times New Roman" w:hAnsi="Times New Roman" w:eastAsia="仿宋_GB2312" w:cs="Times New Roman"/>
          <w:sz w:val="32"/>
          <w:szCs w:val="32"/>
          <w:lang w:val="en-US" w:eastAsia="zh-CN"/>
        </w:rPr>
        <w:t>更</w:t>
      </w:r>
      <w:r>
        <w:rPr>
          <w:rFonts w:hint="default" w:ascii="Times New Roman" w:hAnsi="Times New Roman" w:eastAsia="仿宋_GB2312" w:cs="Times New Roman"/>
          <w:sz w:val="32"/>
          <w:szCs w:val="32"/>
        </w:rPr>
        <w:t>为</w:t>
      </w:r>
      <w:r>
        <w:rPr>
          <w:rFonts w:hint="default" w:ascii="Times New Roman" w:hAnsi="Times New Roman" w:eastAsia="仿宋_GB2312" w:cs="Times New Roman"/>
          <w:sz w:val="32"/>
          <w:szCs w:val="32"/>
          <w:lang w:val="en-US" w:eastAsia="zh-CN"/>
        </w:rPr>
        <w:t>严苛</w:t>
      </w:r>
      <w:r>
        <w:rPr>
          <w:rFonts w:hint="default" w:ascii="Times New Roman" w:hAnsi="Times New Roman" w:eastAsia="仿宋_GB2312" w:cs="Times New Roman"/>
          <w:sz w:val="32"/>
          <w:szCs w:val="32"/>
        </w:rPr>
        <w:t>的证明标准，要求公诉机关必须有证据证实行为人具备犯罪故意。此标准源于刑法的谦抑性原则与责任主义精神，刑罚的适用必须以行为人具备可归责的主观心理为基础。具体至药品犯罪，刑法要求证明行为人“明知”涉案药品系假药、劣药而仍实施生产、销售或提供行为，或虽未明确认知但对其性质具有高度可能性认识却放任危害结果发生。</w:t>
      </w:r>
      <w:r>
        <w:rPr>
          <w:rFonts w:hint="default" w:ascii="Times New Roman" w:hAnsi="Times New Roman" w:eastAsia="仿宋_GB2312" w:cs="Times New Roman"/>
          <w:sz w:val="32"/>
          <w:szCs w:val="32"/>
          <w:lang w:val="en-US" w:eastAsia="zh-CN"/>
        </w:rPr>
        <w:t>但</w:t>
      </w:r>
      <w:r>
        <w:rPr>
          <w:rFonts w:hint="default" w:ascii="Times New Roman" w:hAnsi="Times New Roman" w:eastAsia="仿宋_GB2312" w:cs="Times New Roman"/>
          <w:sz w:val="32"/>
          <w:szCs w:val="32"/>
        </w:rPr>
        <w:t>实践中，直接证明行为人主观明知存在困难，</w:t>
      </w:r>
      <w:r>
        <w:rPr>
          <w:rFonts w:hint="default" w:ascii="Times New Roman" w:hAnsi="Times New Roman" w:eastAsia="仿宋_GB2312" w:cs="Times New Roman"/>
          <w:sz w:val="32"/>
          <w:szCs w:val="32"/>
          <w:lang w:val="en-US" w:eastAsia="zh-CN"/>
        </w:rPr>
        <w:t>为此实践中</w:t>
      </w:r>
      <w:r>
        <w:rPr>
          <w:rFonts w:hint="default" w:ascii="Times New Roman" w:hAnsi="Times New Roman" w:eastAsia="仿宋_GB2312" w:cs="Times New Roman"/>
          <w:sz w:val="32"/>
          <w:szCs w:val="32"/>
        </w:rPr>
        <w:t>司法机关逐步</w:t>
      </w:r>
      <w:r>
        <w:rPr>
          <w:rFonts w:hint="default" w:ascii="Times New Roman" w:hAnsi="Times New Roman" w:eastAsia="仿宋_GB2312" w:cs="Times New Roman"/>
          <w:sz w:val="32"/>
          <w:szCs w:val="32"/>
          <w:lang w:val="en-US" w:eastAsia="zh-CN"/>
        </w:rPr>
        <w:t>探索</w:t>
      </w:r>
      <w:r>
        <w:rPr>
          <w:rFonts w:hint="default" w:ascii="Times New Roman" w:hAnsi="Times New Roman" w:eastAsia="仿宋_GB2312" w:cs="Times New Roman"/>
          <w:sz w:val="32"/>
          <w:szCs w:val="32"/>
        </w:rPr>
        <w:t>出以客观事实推定的认定路径，即通过行为人的专业背景、认知能力、药品购销价格异常性、包装标识明显瑕疵等外在表征，合理推断其主观认知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但此种推定仍需</w:t>
      </w:r>
      <w:r>
        <w:rPr>
          <w:rFonts w:hint="default" w:ascii="Times New Roman" w:hAnsi="Times New Roman" w:eastAsia="仿宋_GB2312" w:cs="Times New Roman"/>
          <w:sz w:val="32"/>
          <w:szCs w:val="32"/>
        </w:rPr>
        <w:t>达到“排除合理怀疑”的证明程度</w:t>
      </w:r>
      <w:r>
        <w:rPr>
          <w:rFonts w:hint="default" w:ascii="Times New Roman" w:hAnsi="Times New Roman" w:eastAsia="仿宋_GB2312" w:cs="Times New Roman"/>
          <w:sz w:val="32"/>
          <w:szCs w:val="32"/>
          <w:lang w:eastAsia="zh-CN"/>
        </w:rPr>
        <w:t>。</w:t>
      </w:r>
    </w:p>
    <w:p>
      <w:pPr>
        <w:pStyle w:val="5"/>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default" w:ascii="Times New Roman" w:hAnsi="Times New Roman" w:eastAsia="仿宋_GB2312" w:cs="Times New Roman"/>
          <w:bCs w:val="0"/>
          <w:kern w:val="2"/>
          <w:sz w:val="32"/>
          <w:szCs w:val="32"/>
          <w:lang w:val="en-US" w:eastAsia="zh-CN" w:bidi="ar-SA"/>
        </w:rPr>
      </w:pPr>
      <w:r>
        <w:rPr>
          <w:rFonts w:hint="default" w:ascii="Times New Roman" w:hAnsi="Times New Roman" w:eastAsia="仿宋_GB2312" w:cs="Times New Roman"/>
          <w:bCs w:val="0"/>
          <w:kern w:val="2"/>
          <w:sz w:val="32"/>
          <w:szCs w:val="32"/>
          <w:lang w:val="en-US" w:eastAsia="zh-CN" w:bidi="ar-SA"/>
        </w:rPr>
        <w:t>3.规范差异的深层法理根源</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行政法与刑法在主观明知认定标准上的区别，本质上是二者功能定位差异的外化：行政法以风险预防和行为规制为朱，通过过错推定实现管理效率；刑法则以刑事归责与权利保障为根本，通过严格证明确保刑罚适用的正当性和适当性。药品安全兼具公共秩序维护与个体权利保护双重价值属性，准确识别并协调此差异，是实现行政监管与刑事制裁衔接的逻辑前提。</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eastAsia="zh-CN"/>
        </w:rPr>
        <w:t>（二）</w:t>
      </w:r>
      <w:r>
        <w:rPr>
          <w:rFonts w:hint="default" w:ascii="Times New Roman" w:hAnsi="Times New Roman" w:eastAsia="仿宋_GB2312" w:cs="Times New Roman"/>
          <w:b/>
          <w:bCs/>
          <w:sz w:val="32"/>
          <w:szCs w:val="32"/>
        </w:rPr>
        <w:t>司法实践中主观明知认定的综合推定模式</w:t>
      </w:r>
    </w:p>
    <w:p>
      <w:pPr>
        <w:pStyle w:val="5"/>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default" w:ascii="Times New Roman" w:hAnsi="Times New Roman" w:eastAsia="仿宋_GB2312" w:cs="Times New Roman"/>
          <w:bCs w:val="0"/>
          <w:kern w:val="2"/>
          <w:sz w:val="32"/>
          <w:szCs w:val="32"/>
          <w:lang w:val="en-US" w:eastAsia="zh-CN" w:bidi="ar-SA"/>
        </w:rPr>
      </w:pPr>
      <w:r>
        <w:rPr>
          <w:rFonts w:hint="default" w:ascii="Times New Roman" w:hAnsi="Times New Roman" w:eastAsia="仿宋_GB2312" w:cs="Times New Roman"/>
          <w:bCs w:val="0"/>
          <w:kern w:val="2"/>
          <w:sz w:val="32"/>
          <w:szCs w:val="32"/>
          <w:lang w:val="en-US" w:eastAsia="zh-CN" w:bidi="ar-SA"/>
        </w:rPr>
        <w:t>1.多维客观证据的体系化审查</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司法机关在推定主观明知时，通常聚焦于以下关键客观要素的整合分析：进货渠道的非法性审查，重点核查药品来源是否具备合法资质文件、检验合格证明。从非正规渠道采购药品，尤其是无法提供合法来源凭证的情形，构成推定明知的重要基础</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交易价格的显著异常性</w:t>
      </w:r>
      <w:r>
        <w:rPr>
          <w:rFonts w:hint="default" w:ascii="Times New Roman" w:hAnsi="Times New Roman" w:eastAsia="仿宋_GB2312" w:cs="Times New Roman"/>
          <w:sz w:val="32"/>
          <w:szCs w:val="32"/>
          <w:lang w:val="en-US" w:eastAsia="zh-CN"/>
        </w:rPr>
        <w:t>主要体现在</w:t>
      </w:r>
      <w:r>
        <w:rPr>
          <w:rFonts w:hint="default" w:ascii="Times New Roman" w:hAnsi="Times New Roman" w:eastAsia="仿宋_GB2312" w:cs="Times New Roman"/>
          <w:sz w:val="32"/>
          <w:szCs w:val="32"/>
        </w:rPr>
        <w:t>购销价格严重偏离市场正常水平如明显低于正品购入价或行业平均成本，可间接反映行为人对药品系伪劣产品存在认知可能性</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行为主体的认知能力和专业经验背景</w:t>
      </w:r>
      <w:r>
        <w:rPr>
          <w:rFonts w:hint="default" w:ascii="Times New Roman" w:hAnsi="Times New Roman" w:eastAsia="仿宋_GB2312" w:cs="Times New Roman"/>
          <w:sz w:val="32"/>
          <w:szCs w:val="32"/>
          <w:lang w:val="en-US" w:eastAsia="zh-CN"/>
        </w:rPr>
        <w:t>也即</w:t>
      </w:r>
      <w:r>
        <w:rPr>
          <w:rFonts w:hint="default" w:ascii="Times New Roman" w:hAnsi="Times New Roman" w:eastAsia="仿宋_GB2312" w:cs="Times New Roman"/>
          <w:sz w:val="32"/>
          <w:szCs w:val="32"/>
        </w:rPr>
        <w:t>行为人是否具备医药专业资质或长期相关行业的从业经历，其受教育的文化程度，直接影响对其违法性认知程度的判断</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专业人员通常被推定具有更高的注意义务与认知能力</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药品外观的显著瑕疵表征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包括</w:t>
      </w:r>
      <w:r>
        <w:rPr>
          <w:rFonts w:hint="default" w:ascii="Times New Roman" w:hAnsi="Times New Roman" w:eastAsia="仿宋_GB2312" w:cs="Times New Roman"/>
          <w:sz w:val="32"/>
          <w:szCs w:val="32"/>
        </w:rPr>
        <w:t>包装材质低劣、标签信息缺失、批准文号伪造、批号不符或有效期涂改等直观异常，可作为佐证明知的辅助性依据。</w:t>
      </w:r>
      <w:r>
        <w:rPr>
          <w:rFonts w:hint="default" w:ascii="Times New Roman" w:hAnsi="Times New Roman" w:eastAsia="仿宋_GB2312" w:cs="Times New Roman"/>
          <w:sz w:val="32"/>
          <w:szCs w:val="32"/>
          <w:lang w:val="en-US" w:eastAsia="zh-CN"/>
        </w:rPr>
        <w:t>通过上述因素的综合判断</w:t>
      </w:r>
      <w:r>
        <w:rPr>
          <w:rFonts w:hint="default" w:ascii="Times New Roman" w:hAnsi="Times New Roman" w:eastAsia="仿宋_GB2312" w:cs="Times New Roman"/>
          <w:sz w:val="32"/>
          <w:szCs w:val="32"/>
        </w:rPr>
        <w:t>构建客观事实与主观心理之间的经验联系，</w:t>
      </w:r>
      <w:r>
        <w:rPr>
          <w:rFonts w:hint="default" w:ascii="Times New Roman" w:hAnsi="Times New Roman" w:eastAsia="仿宋_GB2312" w:cs="Times New Roman"/>
          <w:sz w:val="32"/>
          <w:szCs w:val="32"/>
          <w:lang w:val="en-US" w:eastAsia="zh-CN"/>
        </w:rPr>
        <w:t>能够</w:t>
      </w:r>
      <w:r>
        <w:rPr>
          <w:rFonts w:hint="default" w:ascii="Times New Roman" w:hAnsi="Times New Roman" w:eastAsia="仿宋_GB2312" w:cs="Times New Roman"/>
          <w:sz w:val="32"/>
          <w:szCs w:val="32"/>
        </w:rPr>
        <w:t>有效破解直接证明的困境。但需</w:t>
      </w:r>
      <w:r>
        <w:rPr>
          <w:rFonts w:hint="default" w:ascii="Times New Roman" w:hAnsi="Times New Roman" w:eastAsia="仿宋_GB2312" w:cs="Times New Roman"/>
          <w:sz w:val="32"/>
          <w:szCs w:val="32"/>
          <w:lang w:val="en-US" w:eastAsia="zh-CN"/>
        </w:rPr>
        <w:t>注意的是</w:t>
      </w:r>
      <w:r>
        <w:rPr>
          <w:rFonts w:hint="default" w:ascii="Times New Roman" w:hAnsi="Times New Roman" w:eastAsia="仿宋_GB2312" w:cs="Times New Roman"/>
          <w:sz w:val="32"/>
          <w:szCs w:val="32"/>
        </w:rPr>
        <w:t>，该推定必须严格遵循主客观相统一原则，避免滑入客观归罪的误区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推定的基础事实必须充分且相互印证，形成的推论需符合常情常理。</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阶梯式证明标准的程序化构建</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在药品犯罪司法实践中，主观明知的认定需构建阶梯式证明标准体系，以符合刑事诉讼的阶段性特征。立案侦查阶段遵循</w:t>
      </w:r>
      <w:r>
        <w:rPr>
          <w:rFonts w:hint="default" w:ascii="Times New Roman" w:hAnsi="Times New Roman" w:eastAsia="仿宋_GB2312" w:cs="Times New Roman"/>
          <w:sz w:val="32"/>
          <w:szCs w:val="32"/>
          <w:lang w:eastAsia="zh-CN"/>
        </w:rPr>
        <w:t>《中华人民共和国刑事诉讼法》</w:t>
      </w:r>
      <w:r>
        <w:rPr>
          <w:rFonts w:hint="default" w:ascii="Times New Roman" w:hAnsi="Times New Roman" w:eastAsia="仿宋_GB2312" w:cs="Times New Roman"/>
          <w:sz w:val="32"/>
          <w:szCs w:val="32"/>
        </w:rPr>
        <w:t>第112条之规定，仅需达到“有证据表明可能存在犯罪事实”的初步证明门槛，此阶段侧重于犯罪线索的及时固定与侦查资源的合理配置；审查逮捕阶段，依据《人民检察院刑事诉讼规则》第128条，证明标准须提升至“证据证明犯罪事实具有相当可能性”，此时需形成基础证据链以确认强制措施的必要性；在审判定罪阶段，则必须实现</w:t>
      </w:r>
      <w:r>
        <w:rPr>
          <w:rFonts w:hint="default" w:ascii="Times New Roman" w:hAnsi="Times New Roman" w:eastAsia="仿宋_GB2312" w:cs="Times New Roman"/>
          <w:sz w:val="32"/>
          <w:szCs w:val="32"/>
          <w:lang w:eastAsia="zh-CN"/>
        </w:rPr>
        <w:t>《中华人民共和国刑事诉讼法》</w:t>
      </w:r>
      <w:r>
        <w:rPr>
          <w:rFonts w:hint="default" w:ascii="Times New Roman" w:hAnsi="Times New Roman" w:eastAsia="仿宋_GB2312" w:cs="Times New Roman"/>
          <w:sz w:val="32"/>
          <w:szCs w:val="32"/>
        </w:rPr>
        <w:t>第200条规定的“事实清楚，证据确实、充分，排除合理怀疑”的最高证明要求，确保定罪裁判的实体公正。</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应当注意的是，药品犯罪的主观明知证明强度需与法益侵害类型动态协调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对于具有抽象危险犯性质的生产、销售假药罪，基于其行为本身的严重社会危害性，主观明知的证明可采“高度盖然性”标准，例如通过药品原料来源异常、生产环境隐蔽、运输方式异常、证明材料异常等间接证据综合认定；而对于要求实害结果的生产、销售劣药罪，可以通过医疗记录、病理报告等客观证据，以更严格的标准在实害结果与违法行为之间的构建因果链条。</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推定模式的制约机制与权利保障</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综合推定模式在提升药品犯罪主观明知认定效率的同时，需具备严密的程序制约机制以防止权利侵害。首先，基础事实构成推定前提，必须严格遵循</w:t>
      </w:r>
      <w:r>
        <w:rPr>
          <w:rFonts w:hint="default" w:ascii="Times New Roman" w:hAnsi="Times New Roman" w:eastAsia="仿宋_GB2312" w:cs="Times New Roman"/>
          <w:sz w:val="32"/>
          <w:szCs w:val="32"/>
          <w:lang w:eastAsia="zh-CN"/>
        </w:rPr>
        <w:t>《中华人民共和国刑事诉讼法》</w:t>
      </w:r>
      <w:r>
        <w:rPr>
          <w:rFonts w:hint="default" w:ascii="Times New Roman" w:hAnsi="Times New Roman" w:eastAsia="仿宋_GB2312" w:cs="Times New Roman"/>
          <w:sz w:val="32"/>
          <w:szCs w:val="32"/>
        </w:rPr>
        <w:t>第55条确立的证据裁判原则，以具备完整证据链的客观事实为基础</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孤证或薄弱证据链不得启动推定，例如在销售假药案中，仅有低价进货记录不足以推定明知，需结合药品包装异常、隐蔽交易方式等辅助证据形成印证证据链。其次，保障反证以形成制约，被告人依据</w:t>
      </w:r>
      <w:r>
        <w:rPr>
          <w:rFonts w:hint="default" w:ascii="Times New Roman" w:hAnsi="Times New Roman" w:eastAsia="仿宋_GB2312" w:cs="Times New Roman"/>
          <w:sz w:val="32"/>
          <w:szCs w:val="32"/>
          <w:lang w:eastAsia="zh-CN"/>
        </w:rPr>
        <w:t>《中华人民共和国刑事诉讼法》</w:t>
      </w:r>
      <w:r>
        <w:rPr>
          <w:rFonts w:hint="default" w:ascii="Times New Roman" w:hAnsi="Times New Roman" w:eastAsia="仿宋_GB2312" w:cs="Times New Roman"/>
          <w:sz w:val="32"/>
          <w:szCs w:val="32"/>
        </w:rPr>
        <w:t>第52条享有的辩护权，可通过提交合规经营记录、正规进货凭证等证据反驳推定结论</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司法机关对反证证据的审查需遵循“合理怀疑”标准。最后，通过引入专家辅助制度，破解专业壁垒，</w:t>
      </w:r>
      <w:r>
        <w:rPr>
          <w:rFonts w:hint="default" w:ascii="Times New Roman" w:hAnsi="Times New Roman" w:eastAsia="仿宋_GB2312" w:cs="Times New Roman"/>
          <w:sz w:val="32"/>
          <w:szCs w:val="32"/>
          <w:lang w:eastAsia="zh-CN"/>
        </w:rPr>
        <w:t>《中华人民共和国刑事诉讼法》</w:t>
      </w:r>
      <w:r>
        <w:rPr>
          <w:rFonts w:hint="default" w:ascii="Times New Roman" w:hAnsi="Times New Roman" w:eastAsia="仿宋_GB2312" w:cs="Times New Roman"/>
          <w:sz w:val="32"/>
          <w:szCs w:val="32"/>
        </w:rPr>
        <w:t>第197条规定的专家辅助人可在涉及药品真伪鉴别、行业技术标准等专业领域提供中立意见。此三重制约机制共同构建了推定模式的法治边界，确保推定模式实现查明客观事实与程序权利保障的平衡。</w:t>
      </w:r>
    </w:p>
    <w:p>
      <w:pPr>
        <w:pStyle w:val="2"/>
        <w:keepNext/>
        <w:keepLines w:val="0"/>
        <w:pageBreakBefore w:val="0"/>
        <w:widowControl w:val="0"/>
        <w:kinsoku/>
        <w:wordWrap/>
        <w:overflowPunct/>
        <w:topLinePunct w:val="0"/>
        <w:autoSpaceDE/>
        <w:autoSpaceDN/>
        <w:bidi w:val="0"/>
        <w:adjustRightInd/>
        <w:snapToGrid/>
        <w:spacing w:before="0" w:line="570" w:lineRule="exact"/>
        <w:ind w:left="0" w:leftChars="0" w:firstLine="640" w:firstLineChars="200"/>
        <w:jc w:val="both"/>
        <w:textAlignment w:val="auto"/>
        <w:rPr>
          <w:rFonts w:hint="eastAsia" w:ascii="黑体" w:hAnsi="黑体" w:eastAsia="黑体" w:cs="黑体"/>
          <w:b w:val="0"/>
          <w:bCs w:val="0"/>
          <w:kern w:val="2"/>
          <w:sz w:val="32"/>
          <w:szCs w:val="32"/>
        </w:rPr>
      </w:pPr>
      <w:r>
        <w:rPr>
          <w:rFonts w:hint="eastAsia" w:ascii="黑体" w:hAnsi="黑体" w:eastAsia="黑体" w:cs="黑体"/>
          <w:b w:val="0"/>
          <w:bCs w:val="0"/>
          <w:kern w:val="2"/>
          <w:sz w:val="32"/>
          <w:szCs w:val="32"/>
          <w:lang w:eastAsia="zh-CN"/>
        </w:rPr>
        <w:t>五</w:t>
      </w:r>
      <w:r>
        <w:rPr>
          <w:rFonts w:hint="eastAsia" w:ascii="黑体" w:hAnsi="黑体" w:eastAsia="黑体" w:cs="黑体"/>
          <w:b w:val="0"/>
          <w:bCs w:val="0"/>
          <w:kern w:val="2"/>
          <w:sz w:val="32"/>
          <w:szCs w:val="32"/>
        </w:rPr>
        <w:t>、刑事诉讼与公益诉讼在药品安全领域的协同机制构建</w:t>
      </w:r>
    </w:p>
    <w:p>
      <w:pPr>
        <w:pStyle w:val="3"/>
        <w:keepNext/>
        <w:keepLines w:val="0"/>
        <w:pageBreakBefore w:val="0"/>
        <w:widowControl w:val="0"/>
        <w:numPr>
          <w:ilvl w:val="0"/>
          <w:numId w:val="1"/>
        </w:numPr>
        <w:kinsoku/>
        <w:wordWrap/>
        <w:overflowPunct/>
        <w:topLinePunct w:val="0"/>
        <w:autoSpaceDE/>
        <w:autoSpaceDN/>
        <w:bidi w:val="0"/>
        <w:adjustRightInd/>
        <w:snapToGrid/>
        <w:spacing w:before="0" w:line="570" w:lineRule="exact"/>
        <w:ind w:left="0" w:leftChars="0" w:firstLine="643" w:firstLineChars="200"/>
        <w:textAlignment w:val="auto"/>
        <w:rPr>
          <w:rFonts w:hint="default" w:ascii="Times New Roman" w:hAnsi="Times New Roman" w:eastAsia="仿宋_GB2312" w:cs="Times New Roman"/>
          <w:b/>
          <w:bCs/>
          <w:kern w:val="2"/>
          <w:sz w:val="32"/>
          <w:szCs w:val="32"/>
        </w:rPr>
      </w:pPr>
      <w:r>
        <w:rPr>
          <w:rFonts w:hint="default" w:ascii="Times New Roman" w:hAnsi="Times New Roman" w:eastAsia="仿宋_GB2312" w:cs="Times New Roman"/>
          <w:b/>
          <w:bCs/>
          <w:kern w:val="2"/>
          <w:sz w:val="32"/>
          <w:szCs w:val="32"/>
        </w:rPr>
        <w:t>功能互补的理论基础：惩罚威慑与修复预防的二元协同</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刑事诉讼与公益诉讼在药品安全领域的协同保护机制，其根基在于二者制度功能的内在互补性。刑事制裁以惩罚与威慑为核心要义，依托国家强制力对违法行为人施以严厉惩戒，通过自由刑与高额罚金刑的组合形成强大的心理强制。</w:t>
      </w:r>
      <w:r>
        <w:rPr>
          <w:rFonts w:hint="default" w:ascii="Times New Roman" w:hAnsi="Times New Roman" w:eastAsia="仿宋_GB2312" w:cs="Times New Roman"/>
          <w:sz w:val="32"/>
          <w:szCs w:val="32"/>
          <w:lang w:eastAsia="zh-CN"/>
        </w:rPr>
        <w:t>《中华人民共和国刑法修正案（十一）》</w:t>
      </w:r>
      <w:r>
        <w:rPr>
          <w:rFonts w:hint="default" w:ascii="Times New Roman" w:hAnsi="Times New Roman" w:eastAsia="仿宋_GB2312" w:cs="Times New Roman"/>
          <w:sz w:val="32"/>
          <w:szCs w:val="32"/>
        </w:rPr>
        <w:t xml:space="preserve">对药品犯罪的修订鲜明体现了“严而不厉”的政策取向——通过降低制售假药劣药罪的入罪门槛、增设妨害药品管理罪等举措扩大刑法规制范围，强化刑罚的一般预防效能，以刑罚的必然性与严厉性威慑潜在违法者。 </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相较而言，公益诉讼则以损害修复与风险预防</w:t>
      </w:r>
      <w:r>
        <w:rPr>
          <w:rFonts w:hint="default" w:ascii="Times New Roman" w:hAnsi="Times New Roman" w:eastAsia="仿宋_GB2312" w:cs="Times New Roman"/>
          <w:sz w:val="32"/>
          <w:szCs w:val="32"/>
          <w:lang w:val="en-US" w:eastAsia="zh-CN"/>
        </w:rPr>
        <w:t>机制能够有效</w:t>
      </w:r>
      <w:r>
        <w:rPr>
          <w:rFonts w:hint="default" w:ascii="Times New Roman" w:hAnsi="Times New Roman" w:eastAsia="仿宋_GB2312" w:cs="Times New Roman"/>
          <w:sz w:val="32"/>
          <w:szCs w:val="32"/>
        </w:rPr>
        <w:t>填补刑事制裁的功能盲区</w:t>
      </w:r>
      <w:r>
        <w:rPr>
          <w:rFonts w:hint="default" w:ascii="Times New Roman" w:hAnsi="Times New Roman" w:eastAsia="仿宋_GB2312" w:cs="Times New Roman"/>
          <w:sz w:val="32"/>
          <w:szCs w:val="32"/>
          <w:lang w:eastAsia="zh-CN"/>
        </w:rPr>
        <w:t>，刑事制裁侧重对个体违法者的回溯性惩罚，公益诉讼则着眼社会公共利益的修复与未来风险的防控。</w:t>
      </w:r>
      <w:r>
        <w:rPr>
          <w:rFonts w:hint="default" w:ascii="Times New Roman" w:hAnsi="Times New Roman" w:eastAsia="仿宋_GB2312" w:cs="Times New Roman"/>
          <w:sz w:val="32"/>
          <w:szCs w:val="32"/>
        </w:rPr>
        <w:t>检察机关在民事公益诉讼中可综合主张惩罚性赔偿、缺陷产品召回、消除危险等多元化责任承担方式</w:t>
      </w:r>
      <w:r>
        <w:rPr>
          <w:rStyle w:val="8"/>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rPr>
        <w:t>。同时，公益诉讼通过“禁止令”等预防性司法措施，有效阻断药品安全风险的扩散链条。其制度设计具有显著的前瞻性：不仅关注已发生损害的金钱补偿，更注重通过行为禁令消除未来危险状态。</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外，二者在证明标准上的差异加强了协同效应。刑事诉讼坚持“排除合理怀疑”的严格标准，而公益诉讼则适用“高度盖然性”标准。此种该差异可形成有效的差异化评价，当刑事追诉因证据不完整受阻时，公益诉讼仍可通过优势证据提供救济。例如在药品成分致害因果关系证明中，刑事诉讼需达到“唯一结论”的鉴定标准，而公益诉讼仅需证明“具有高度关联性”即可支持产品召回请求。此种制度安排确保了药品安全法益保护的无缝衔接，弥补刑事证明困境导致的规制空白。</w:t>
      </w:r>
    </w:p>
    <w:p>
      <w:pPr>
        <w:pStyle w:val="3"/>
        <w:keepNext/>
        <w:keepLines w:val="0"/>
        <w:pageBreakBefore w:val="0"/>
        <w:widowControl w:val="0"/>
        <w:numPr>
          <w:ilvl w:val="0"/>
          <w:numId w:val="1"/>
        </w:numPr>
        <w:kinsoku/>
        <w:wordWrap/>
        <w:overflowPunct/>
        <w:topLinePunct w:val="0"/>
        <w:autoSpaceDE/>
        <w:autoSpaceDN/>
        <w:bidi w:val="0"/>
        <w:adjustRightInd/>
        <w:snapToGrid/>
        <w:spacing w:before="0" w:line="570" w:lineRule="exact"/>
        <w:ind w:left="0" w:leftChars="0" w:firstLine="643" w:firstLineChars="200"/>
        <w:textAlignment w:val="auto"/>
        <w:rPr>
          <w:rFonts w:hint="default" w:ascii="Times New Roman" w:hAnsi="Times New Roman" w:eastAsia="仿宋_GB2312" w:cs="Times New Roman"/>
          <w:b/>
          <w:bCs/>
          <w:kern w:val="2"/>
          <w:sz w:val="32"/>
          <w:szCs w:val="32"/>
        </w:rPr>
      </w:pPr>
      <w:r>
        <w:rPr>
          <w:rFonts w:hint="default" w:ascii="Times New Roman" w:hAnsi="Times New Roman" w:eastAsia="仿宋_GB2312" w:cs="Times New Roman"/>
          <w:b/>
          <w:bCs/>
          <w:kern w:val="2"/>
          <w:sz w:val="32"/>
          <w:szCs w:val="32"/>
        </w:rPr>
        <w:t>路径创新：禁止令、赔偿金与线索移送的协同实践</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在具体的制度衔接与协同路径探索上，协同适用禁止令是行为预防的关键一环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刑事禁止令与公益诉讼禁止令的配合运用，能够形成对违法主体行为能力的多层次限制。</w:t>
      </w:r>
      <w:r>
        <w:rPr>
          <w:rFonts w:hint="default" w:ascii="Times New Roman" w:hAnsi="Times New Roman" w:eastAsia="仿宋_GB2312" w:cs="Times New Roman"/>
          <w:sz w:val="32"/>
          <w:szCs w:val="32"/>
          <w:lang w:eastAsia="zh-CN"/>
        </w:rPr>
        <w:t>最高人民法院、最高人民检察院《关于办理危害药品安全刑事案件适用法律若干问题的解释</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第16条规定法院对宣告缓刑的药品犯罪人员，可依法宣告禁止其在考验期内从事药品相关活动。此项制度设计为公益诉讼中法院签发更具彻底性的行为禁止令提供了相应的制度依据。刑事与公益双重禁止令的叠加适用，显著增加了对再犯风险的系统性预防功能。在损害救济层面，《人民检察院公益诉讼办案规则》第98条规定了民事公益赔偿金制度，使刑事罚金与民事公益赔偿金相互协调，破解“罚了不赔”或“双重处罚”困境的创新实践。此种衔接机制，既恪守了禁止双重处罚的法治原则，又切实保障了损害赔偿的充分性与及时性。</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为确保协同机制的运转顺畅和高度协调性，“行政发现</w:t>
      </w:r>
      <w:r>
        <w:rPr>
          <w:rFonts w:hint="default" w:ascii="Times New Roman" w:hAnsi="Times New Roman" w:eastAsia="仿宋_GB2312" w:cs="Times New Roman"/>
          <w:sz w:val="32"/>
          <w:szCs w:val="32"/>
          <w:lang w:val="en-US"/>
        </w:rPr>
        <w:t>-</w:t>
      </w:r>
      <w:r>
        <w:rPr>
          <w:rFonts w:hint="default" w:ascii="Times New Roman" w:hAnsi="Times New Roman" w:eastAsia="仿宋_GB2312" w:cs="Times New Roman"/>
          <w:sz w:val="32"/>
          <w:szCs w:val="32"/>
        </w:rPr>
        <w:t>刑事侦查</w:t>
      </w:r>
      <w:r>
        <w:rPr>
          <w:rFonts w:hint="default" w:ascii="Times New Roman" w:hAnsi="Times New Roman" w:eastAsia="仿宋_GB2312" w:cs="Times New Roman"/>
          <w:sz w:val="32"/>
          <w:szCs w:val="32"/>
          <w:lang w:val="en-US"/>
        </w:rPr>
        <w:t>-</w:t>
      </w:r>
      <w:r>
        <w:rPr>
          <w:rFonts w:hint="default" w:ascii="Times New Roman" w:hAnsi="Times New Roman" w:eastAsia="仿宋_GB2312" w:cs="Times New Roman"/>
          <w:sz w:val="32"/>
          <w:szCs w:val="32"/>
        </w:rPr>
        <w:t>公益追责”全链条线索移送机制的构建至关重要。市场监管部门在日常监管、抽检及行政处罚中获取的违法线索与关键证据，应当建立标准化流程，同步移送至公安机关作为刑事立案侦查的依据和检察机关作为公益诉讼线索来源。这种机制设计旨在促成行政违法线索向刑事犯罪线索、刑事追责过程中发现的公益损害线索的梯度转化与高效利用，</w:t>
      </w:r>
      <w:r>
        <w:rPr>
          <w:rFonts w:hint="default" w:ascii="Times New Roman" w:hAnsi="Times New Roman" w:eastAsia="仿宋_GB2312" w:cs="Times New Roman"/>
          <w:sz w:val="32"/>
          <w:szCs w:val="32"/>
          <w:lang w:val="en-US" w:eastAsia="zh-CN"/>
        </w:rPr>
        <w:t>以</w:t>
      </w:r>
      <w:r>
        <w:rPr>
          <w:rFonts w:hint="default" w:ascii="Times New Roman" w:hAnsi="Times New Roman" w:eastAsia="仿宋_GB2312" w:cs="Times New Roman"/>
          <w:sz w:val="32"/>
          <w:szCs w:val="32"/>
        </w:rPr>
        <w:t>克服信息孤岛与程序脱节的问题，确保救济和制止危害行为的及时性。</w:t>
      </w:r>
    </w:p>
    <w:p>
      <w:pPr>
        <w:pStyle w:val="3"/>
        <w:keepNext/>
        <w:keepLines w:val="0"/>
        <w:pageBreakBefore w:val="0"/>
        <w:widowControl w:val="0"/>
        <w:numPr>
          <w:ilvl w:val="0"/>
          <w:numId w:val="1"/>
        </w:numPr>
        <w:kinsoku/>
        <w:wordWrap/>
        <w:overflowPunct/>
        <w:topLinePunct w:val="0"/>
        <w:autoSpaceDE/>
        <w:autoSpaceDN/>
        <w:bidi w:val="0"/>
        <w:adjustRightInd/>
        <w:snapToGrid/>
        <w:spacing w:before="0" w:line="570" w:lineRule="exact"/>
        <w:ind w:left="0" w:leftChars="0" w:firstLine="643" w:firstLineChars="200"/>
        <w:textAlignment w:val="auto"/>
        <w:rPr>
          <w:rFonts w:hint="default" w:ascii="Times New Roman" w:hAnsi="Times New Roman" w:eastAsia="仿宋_GB2312" w:cs="Times New Roman"/>
          <w:b/>
          <w:bCs/>
          <w:kern w:val="2"/>
          <w:sz w:val="32"/>
          <w:szCs w:val="32"/>
        </w:rPr>
      </w:pPr>
      <w:r>
        <w:rPr>
          <w:rFonts w:hint="default" w:ascii="Times New Roman" w:hAnsi="Times New Roman" w:eastAsia="仿宋_GB2312" w:cs="Times New Roman"/>
          <w:b/>
          <w:bCs/>
          <w:kern w:val="2"/>
          <w:sz w:val="32"/>
          <w:szCs w:val="32"/>
        </w:rPr>
        <w:t>平台支撑：信息共享、联合执法与专家辅助的系统集成</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协同机制的高效运行离不开一体化协作平台的坚实支撑</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最高人民检察院2023年发布的《关于推进行刑双向衔接和行政违法行为监督的意见》明确要求建立跨部门、跨层级的统一药品安全信息共享平台。理想的信息共享平台不仅应涵盖基础案件信息与执法结果，更应深度整合药品抽检数据、不良反应监测信息、企业信用记录、风险预警信号以及专业的检验鉴定报告，为协同决策与精准执法提供全方位的数据支持。</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专业化联合执法队伍的建设是提升协同机制执行效能的组织保障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依据</w:t>
      </w:r>
      <w:r>
        <w:rPr>
          <w:rFonts w:hint="default" w:ascii="Times New Roman" w:hAnsi="Times New Roman" w:eastAsia="仿宋_GB2312" w:cs="Times New Roman"/>
          <w:sz w:val="32"/>
          <w:szCs w:val="32"/>
          <w:lang w:eastAsia="zh-CN"/>
        </w:rPr>
        <w:t>《中华人民共和国药品管理法》</w:t>
      </w:r>
      <w:r>
        <w:rPr>
          <w:rFonts w:hint="default" w:ascii="Times New Roman" w:hAnsi="Times New Roman" w:eastAsia="仿宋_GB2312" w:cs="Times New Roman"/>
          <w:sz w:val="32"/>
          <w:szCs w:val="32"/>
        </w:rPr>
        <w:t>第124条的授权，多地积极探索组建了由熟悉药品监管的市场执法人员、具备侦查技能的公安干警、精通公益诉讼的检察人员共同参与的药品犯罪联合执法队伍。在涉及生产源头追溯、跨区域销售网络深挖、新型药品犯罪手法应对以及跨境药品犯罪查处等复杂场景中，联合执法机制具有单一部门执法难以企及的资源整合优势与综合打击效能。</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同时，面对药品领域高度专业化的技术壁垒，建立权威、共享的药品安全专家辅助制度能够为药品犯罪的治理提供有力的制度支持。</w:t>
      </w:r>
      <w:r>
        <w:rPr>
          <w:rFonts w:hint="default" w:ascii="Times New Roman" w:hAnsi="Times New Roman" w:eastAsia="仿宋_GB2312" w:cs="Times New Roman"/>
          <w:sz w:val="32"/>
          <w:szCs w:val="32"/>
          <w:lang w:eastAsia="zh-CN"/>
        </w:rPr>
        <w:t>《中华人民共和国刑事诉讼法》</w:t>
      </w:r>
      <w:r>
        <w:rPr>
          <w:rFonts w:hint="default" w:ascii="Times New Roman" w:hAnsi="Times New Roman" w:eastAsia="仿宋_GB2312" w:cs="Times New Roman"/>
          <w:sz w:val="32"/>
          <w:szCs w:val="32"/>
        </w:rPr>
        <w:t>第197条及</w:t>
      </w:r>
      <w:r>
        <w:rPr>
          <w:rFonts w:hint="default" w:ascii="Times New Roman" w:hAnsi="Times New Roman" w:eastAsia="仿宋_GB2312" w:cs="Times New Roman"/>
          <w:sz w:val="32"/>
          <w:szCs w:val="32"/>
          <w:lang w:eastAsia="zh-CN"/>
        </w:rPr>
        <w:t>《中华人民共和国民事诉讼法》</w:t>
      </w:r>
      <w:r>
        <w:rPr>
          <w:rFonts w:hint="default" w:ascii="Times New Roman" w:hAnsi="Times New Roman" w:eastAsia="仿宋_GB2312" w:cs="Times New Roman"/>
          <w:sz w:val="32"/>
          <w:szCs w:val="32"/>
        </w:rPr>
        <w:t>第79条均确立了专家辅助人制度，其在专业性极强的药品犯罪刑事诉讼及公益诉讼中价值尤为凸显。通过构建覆盖共享的药品安全专家智库，利用智库成员为刑事诉讼中的涉案药品性质认定、因果关系判定、危害后果评估等提供权威的技术鉴定意见，同时也为公益诉讼中的损害范围量化、修复方案可行性论证、预防措施有效性评估等提供专业的报告。</w:t>
      </w:r>
    </w:p>
    <w:p>
      <w:pPr>
        <w:pStyle w:val="5"/>
        <w:keepNext/>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在积极构建并深化上述协同机制的同时，必须始终保持对权力配置合理边界的审慎关注，确保刑事诉讼与公益诉讼之间必要的制度张力与功能区分。过度强调协同可能导致功能重叠、程序冗杂，甚至引发司法资源的浪费，有损刑事诉讼的谦抑性与公益诉讼的灵活性。因此，制度完善应关注更具可操作性的精细规则设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一方面应</w:t>
      </w:r>
      <w:r>
        <w:rPr>
          <w:rFonts w:hint="default" w:ascii="Times New Roman" w:hAnsi="Times New Roman" w:eastAsia="仿宋_GB2312" w:cs="Times New Roman"/>
          <w:sz w:val="32"/>
          <w:szCs w:val="32"/>
        </w:rPr>
        <w:t>确立科学合理的案件分流标准，明确区分采用刑事附带民事公益诉讼程序的案件与分别独立启动刑事诉讼和公益诉讼的案件类型；</w:t>
      </w:r>
      <w:r>
        <w:rPr>
          <w:rFonts w:hint="default" w:ascii="Times New Roman" w:hAnsi="Times New Roman" w:eastAsia="仿宋_GB2312" w:cs="Times New Roman"/>
          <w:sz w:val="32"/>
          <w:szCs w:val="32"/>
          <w:lang w:val="en-US" w:eastAsia="zh-CN"/>
        </w:rPr>
        <w:t>另一方面，需</w:t>
      </w:r>
      <w:r>
        <w:rPr>
          <w:rFonts w:hint="default" w:ascii="Times New Roman" w:hAnsi="Times New Roman" w:eastAsia="仿宋_GB2312" w:cs="Times New Roman"/>
          <w:sz w:val="32"/>
          <w:szCs w:val="32"/>
        </w:rPr>
        <w:t>健全对协同机制运行全过程的监督制约体系</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以</w:t>
      </w:r>
      <w:r>
        <w:rPr>
          <w:rFonts w:hint="default" w:ascii="Times New Roman" w:hAnsi="Times New Roman" w:eastAsia="仿宋_GB2312" w:cs="Times New Roman"/>
          <w:sz w:val="32"/>
          <w:szCs w:val="32"/>
        </w:rPr>
        <w:t>实现刑事诉讼的惩戒、预防功能与公益诉讼所担负的修复预防功能，实现最优协同效应。</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sz w:val="32"/>
          <w:szCs w:val="32"/>
          <w:lang w:val="en-US" w:eastAsia="zh-CN"/>
        </w:rPr>
        <w:t xml:space="preserve">   </w:t>
      </w:r>
      <w:r>
        <w:rPr>
          <w:rFonts w:hint="eastAsia" w:ascii="黑体" w:hAnsi="黑体" w:eastAsia="黑体" w:cs="黑体"/>
          <w:sz w:val="32"/>
          <w:szCs w:val="32"/>
          <w:lang w:val="en-US" w:eastAsia="zh-CN"/>
        </w:rPr>
        <w:t xml:space="preserve"> 六、</w:t>
      </w:r>
      <w:r>
        <w:rPr>
          <w:rFonts w:hint="eastAsia" w:ascii="黑体" w:hAnsi="黑体" w:eastAsia="黑体" w:cs="黑体"/>
          <w:bCs w:val="0"/>
          <w:kern w:val="2"/>
          <w:sz w:val="32"/>
          <w:szCs w:val="32"/>
          <w:lang w:val="en-US" w:eastAsia="zh-CN" w:bidi="ar-SA"/>
        </w:rPr>
        <w:t>结语</w:t>
      </w:r>
    </w:p>
    <w:p>
      <w:pPr>
        <w:pStyle w:val="5"/>
        <w:keepLines w:val="0"/>
        <w:pageBreakBefore w:val="0"/>
        <w:widowControl w:val="0"/>
        <w:kinsoku/>
        <w:wordWrap/>
        <w:overflowPunct/>
        <w:topLinePunct w:val="0"/>
        <w:autoSpaceDE/>
        <w:autoSpaceDN/>
        <w:bidi w:val="0"/>
        <w:adjustRightInd/>
        <w:snapToGrid/>
        <w:spacing w:line="570" w:lineRule="exact"/>
        <w:ind w:left="0" w:leftChars="0"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销售假药罪的司法认定与行刑衔接困境，折射出药品安全治理中行政效率与司法公正、形式秩序维护与实质法益保护之间的深层张力。</w:t>
      </w:r>
      <w:r>
        <w:rPr>
          <w:rFonts w:hint="default" w:ascii="Times New Roman" w:hAnsi="Times New Roman" w:eastAsia="仿宋_GB2312" w:cs="Times New Roman"/>
          <w:sz w:val="32"/>
          <w:szCs w:val="32"/>
          <w:lang w:eastAsia="zh-CN"/>
        </w:rPr>
        <w:t>《中华人民共和国刑法修正案（十一）》</w:t>
      </w:r>
      <w:r>
        <w:rPr>
          <w:rFonts w:hint="default" w:ascii="Times New Roman" w:hAnsi="Times New Roman" w:eastAsia="仿宋_GB2312" w:cs="Times New Roman"/>
          <w:sz w:val="32"/>
          <w:szCs w:val="32"/>
        </w:rPr>
        <w:t>删除假药行政认定援引条款后引发</w:t>
      </w:r>
      <w:r>
        <w:rPr>
          <w:rFonts w:hint="default" w:ascii="Times New Roman" w:hAnsi="Times New Roman" w:eastAsia="仿宋_GB2312" w:cs="Times New Roman"/>
          <w:sz w:val="32"/>
          <w:szCs w:val="32"/>
          <w:lang w:val="en-US" w:eastAsia="zh-CN"/>
        </w:rPr>
        <w:t>了</w:t>
      </w:r>
      <w:r>
        <w:rPr>
          <w:rFonts w:hint="default" w:ascii="Times New Roman" w:hAnsi="Times New Roman" w:eastAsia="仿宋_GB2312" w:cs="Times New Roman"/>
          <w:sz w:val="32"/>
          <w:szCs w:val="32"/>
        </w:rPr>
        <w:t>规范真空与实践</w:t>
      </w:r>
      <w:r>
        <w:rPr>
          <w:rFonts w:hint="default" w:ascii="Times New Roman" w:hAnsi="Times New Roman" w:eastAsia="仿宋_GB2312" w:cs="Times New Roman"/>
          <w:sz w:val="32"/>
          <w:szCs w:val="32"/>
          <w:lang w:val="en-US" w:eastAsia="zh-CN"/>
        </w:rPr>
        <w:t>困境</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致使</w:t>
      </w:r>
      <w:r>
        <w:rPr>
          <w:rFonts w:hint="default" w:ascii="Times New Roman" w:hAnsi="Times New Roman" w:eastAsia="仿宋_GB2312" w:cs="Times New Roman"/>
          <w:sz w:val="32"/>
          <w:szCs w:val="32"/>
        </w:rPr>
        <w:t>假药认定标准</w:t>
      </w:r>
      <w:r>
        <w:rPr>
          <w:rFonts w:hint="default" w:ascii="Times New Roman" w:hAnsi="Times New Roman" w:eastAsia="仿宋_GB2312" w:cs="Times New Roman"/>
          <w:sz w:val="32"/>
          <w:szCs w:val="32"/>
          <w:lang w:val="en-US" w:eastAsia="zh-CN"/>
        </w:rPr>
        <w:t>面临</w:t>
      </w:r>
      <w:r>
        <w:rPr>
          <w:rFonts w:hint="default" w:ascii="Times New Roman" w:hAnsi="Times New Roman" w:eastAsia="仿宋_GB2312" w:cs="Times New Roman"/>
          <w:sz w:val="32"/>
          <w:szCs w:val="32"/>
        </w:rPr>
        <w:t>行刑冲突与主观明知证明的体系割裂两大核心难题，揭示了立法价值模糊、法定犯过度依赖行政标准及程序协同不足等结构性</w:t>
      </w:r>
      <w:r>
        <w:rPr>
          <w:rFonts w:hint="default" w:ascii="Times New Roman" w:hAnsi="Times New Roman" w:eastAsia="仿宋_GB2312" w:cs="Times New Roman"/>
          <w:sz w:val="32"/>
          <w:szCs w:val="32"/>
          <w:lang w:val="en-US" w:eastAsia="zh-CN"/>
        </w:rPr>
        <w:t>难题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持续推动实体规则精密化、程序衔接高效化与治理机制协同化，彰显了以法治力量筑牢民生安全防线的必然要求。</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76FFBF"/>
    <w:multiLevelType w:val="singleLevel"/>
    <w:tmpl w:val="6276FFBF"/>
    <w:lvl w:ilvl="0" w:tentative="0">
      <w:start w:val="1"/>
      <w:numFmt w:val="chineseCounting"/>
      <w:suff w:val="nothing"/>
      <w:lvlText w:val="（%1）"/>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BC2BB6"/>
    <w:rsid w:val="4CBC2B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Lines="0" w:beforeAutospacing="0" w:afterLines="0" w:afterAutospacing="0" w:line="570" w:lineRule="exact"/>
      <w:ind w:firstLine="0" w:firstLineChars="0"/>
      <w:jc w:val="center"/>
      <w:outlineLvl w:val="0"/>
    </w:pPr>
    <w:rPr>
      <w:rFonts w:ascii="方正小标宋简体" w:hAnsi="方正小标宋简体" w:eastAsia="方正小标宋简体" w:cs="Times New Roman"/>
      <w:kern w:val="44"/>
      <w:sz w:val="44"/>
    </w:rPr>
  </w:style>
  <w:style w:type="paragraph" w:styleId="3">
    <w:name w:val="heading 2"/>
    <w:basedOn w:val="1"/>
    <w:next w:val="1"/>
    <w:unhideWhenUsed/>
    <w:qFormat/>
    <w:uiPriority w:val="9"/>
    <w:pPr>
      <w:keepNext/>
      <w:keepLines/>
      <w:outlineLvl w:val="1"/>
    </w:pPr>
    <w:rPr>
      <w:rFonts w:ascii="Arial" w:hAnsi="Arial" w:eastAsia="黑体"/>
      <w:sz w:val="28"/>
    </w:rPr>
  </w:style>
  <w:style w:type="paragraph" w:styleId="4">
    <w:name w:val="heading 3"/>
    <w:basedOn w:val="1"/>
    <w:next w:val="1"/>
    <w:unhideWhenUsed/>
    <w:qFormat/>
    <w:uiPriority w:val="9"/>
    <w:pPr>
      <w:keepNext/>
      <w:keepLines/>
      <w:outlineLvl w:val="2"/>
    </w:pPr>
    <w:rPr>
      <w:rFonts w:eastAsia="黑体"/>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Body Text"/>
    <w:unhideWhenUsed/>
    <w:qFormat/>
    <w:uiPriority w:val="99"/>
    <w:pPr>
      <w:widowControl w:val="0"/>
      <w:spacing w:line="400" w:lineRule="exact"/>
      <w:ind w:firstLine="480" w:firstLineChars="200"/>
      <w:jc w:val="both"/>
    </w:pPr>
    <w:rPr>
      <w:rFonts w:ascii="Times New Roman" w:hAnsi="Calibri" w:eastAsia="宋体" w:cs="Times New Roman"/>
      <w:kern w:val="2"/>
      <w:sz w:val="24"/>
      <w:lang w:val="en-US" w:eastAsia="zh-CN" w:bidi="ar-SA"/>
    </w:rPr>
  </w:style>
  <w:style w:type="character" w:styleId="8">
    <w:name w:val="footnote reference"/>
    <w:basedOn w:val="7"/>
    <w:unhideWhenUsed/>
    <w:qFormat/>
    <w:uiPriority w:val="0"/>
    <w:rPr>
      <w:vertAlign w:val="superscript"/>
    </w:rPr>
  </w:style>
  <w:style w:type="paragraph" w:customStyle="1" w:styleId="9">
    <w:name w:val="摘要正文"/>
    <w:next w:val="1"/>
    <w:qFormat/>
    <w:uiPriority w:val="0"/>
    <w:pPr>
      <w:widowControl w:val="0"/>
      <w:spacing w:line="400" w:lineRule="exact"/>
      <w:ind w:firstLine="480" w:firstLineChars="200"/>
      <w:jc w:val="both"/>
    </w:pPr>
    <w:rPr>
      <w:rFonts w:ascii="Times New Roman" w:hAnsi="Calibri" w:eastAsia="宋体" w:cs="Times New Roman"/>
      <w:kern w:val="2"/>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2026-09-21T09:13:00Z</dcterms:created>
  <dc:creator>Administrator</dc:creator>
  <cp:lastModifiedBy>Administrator</cp:lastModifiedBy>
  <dcterms:modified xsi:type="dcterms:W3CDTF">2026-09-21T09:13:16Z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EDCE1984F2BF46178241E2B2B84CBB1D</vt:lpwstr>
  </property>
</Properties>
</file>