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0" w:firstLineChars="0"/>
        <w:jc w:val="center"/>
        <w:textAlignment w:val="auto"/>
        <w:rPr>
          <w:rFonts w:hint="eastAsia" w:ascii="方正小标宋_GBK" w:hAnsi="方正小标宋_GBK" w:eastAsia="方正小标宋_GBK" w:cs="方正小标宋_GBK"/>
          <w:kern w:val="2"/>
          <w:sz w:val="44"/>
          <w:szCs w:val="44"/>
        </w:rPr>
      </w:pPr>
      <w:bookmarkStart w:id="0" w:name="_GoBack"/>
      <w:r>
        <w:rPr>
          <w:rFonts w:hint="eastAsia" w:ascii="方正小标宋_GBK" w:hAnsi="方正小标宋_GBK" w:eastAsia="方正小标宋_GBK" w:cs="方正小标宋_GBK"/>
          <w:kern w:val="2"/>
          <w:sz w:val="44"/>
          <w:szCs w:val="44"/>
        </w:rPr>
        <w:t>非法集资刑民交叉案件中涉案财物权属认定与分配机制研究</w:t>
      </w:r>
    </w:p>
    <w:bookmarkEnd w:id="0"/>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0" w:firstLineChars="0"/>
        <w:jc w:val="center"/>
        <w:textAlignment w:val="auto"/>
        <w:rPr>
          <w:rFonts w:hint="eastAsia" w:ascii="方正小标宋_GBK" w:hAnsi="方正小标宋_GBK" w:eastAsia="方正小标宋_GBK" w:cs="方正小标宋_GBK"/>
          <w:kern w:val="2"/>
          <w:sz w:val="44"/>
          <w:szCs w:val="44"/>
        </w:rPr>
      </w:pP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val="0"/>
          <w:bCs w:val="0"/>
          <w:sz w:val="32"/>
          <w:szCs w:val="32"/>
          <w:lang w:val="en-US" w:eastAsia="zh-CN"/>
        </w:rPr>
        <w:t>佛山市顺德区人民检察院课题组</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0" w:firstLineChars="0"/>
        <w:jc w:val="center"/>
        <w:textAlignment w:val="auto"/>
        <w:rPr>
          <w:rFonts w:hint="eastAsia" w:ascii="方正小标宋_GBK" w:hAnsi="方正小标宋_GBK" w:eastAsia="方正小标宋_GBK" w:cs="方正小标宋_GBK"/>
          <w:kern w:val="2"/>
          <w:sz w:val="44"/>
          <w:szCs w:val="44"/>
        </w:rPr>
      </w:pP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0" w:firstLineChars="0"/>
        <w:jc w:val="both"/>
        <w:textAlignment w:val="auto"/>
        <w:rPr>
          <w:rFonts w:hint="default" w:ascii="Times New Roman" w:hAnsi="Times New Roman" w:eastAsia="仿宋_GB2312" w:cs="Times New Roman"/>
          <w:bCs/>
          <w:kern w:val="2"/>
          <w:sz w:val="32"/>
          <w:szCs w:val="32"/>
        </w:rPr>
      </w:pPr>
      <w:r>
        <w:rPr>
          <w:rFonts w:hint="default" w:ascii="Times New Roman" w:hAnsi="Times New Roman" w:eastAsia="仿宋_GB2312" w:cs="Times New Roman"/>
          <w:b/>
          <w:bCs w:val="0"/>
          <w:kern w:val="2"/>
          <w:sz w:val="32"/>
          <w:szCs w:val="32"/>
        </w:rPr>
        <w:t>摘</w:t>
      </w:r>
      <w:r>
        <w:rPr>
          <w:rFonts w:hint="eastAsia" w:eastAsia="仿宋_GB2312" w:cs="Times New Roman"/>
          <w:b/>
          <w:bCs w:val="0"/>
          <w:kern w:val="2"/>
          <w:sz w:val="32"/>
          <w:szCs w:val="32"/>
          <w:lang w:val="en-US" w:eastAsia="zh-CN"/>
        </w:rPr>
        <w:t xml:space="preserve">  </w:t>
      </w:r>
      <w:r>
        <w:rPr>
          <w:rFonts w:hint="default" w:ascii="Times New Roman" w:hAnsi="Times New Roman" w:eastAsia="仿宋_GB2312" w:cs="Times New Roman"/>
          <w:b/>
          <w:bCs w:val="0"/>
          <w:kern w:val="2"/>
          <w:sz w:val="32"/>
          <w:szCs w:val="32"/>
        </w:rPr>
        <w:t>要</w:t>
      </w:r>
      <w:r>
        <w:rPr>
          <w:rFonts w:hint="default" w:ascii="Times New Roman" w:hAnsi="Times New Roman" w:eastAsia="仿宋_GB2312" w:cs="Times New Roman"/>
          <w:b/>
          <w:bCs w:val="0"/>
          <w:kern w:val="2"/>
          <w:sz w:val="32"/>
          <w:szCs w:val="32"/>
          <w:lang w:eastAsia="zh-CN"/>
        </w:rPr>
        <w:t>：</w:t>
      </w:r>
      <w:r>
        <w:rPr>
          <w:rFonts w:hint="default" w:ascii="Times New Roman" w:hAnsi="Times New Roman" w:eastAsia="仿宋_GB2312" w:cs="Times New Roman"/>
          <w:bCs/>
          <w:kern w:val="2"/>
          <w:sz w:val="32"/>
          <w:szCs w:val="32"/>
        </w:rPr>
        <w:t>非法集资案件中长期存在涉案财物处置难题，</w:t>
      </w:r>
      <w:r>
        <w:rPr>
          <w:rFonts w:hint="default" w:ascii="Times New Roman" w:hAnsi="Times New Roman" w:eastAsia="仿宋_GB2312" w:cs="Times New Roman"/>
          <w:bCs/>
          <w:kern w:val="2"/>
          <w:sz w:val="32"/>
          <w:szCs w:val="32"/>
          <w:lang w:eastAsia="zh-CN"/>
        </w:rPr>
        <w:t>本文</w:t>
      </w:r>
      <w:r>
        <w:rPr>
          <w:rFonts w:hint="default" w:ascii="Times New Roman" w:hAnsi="Times New Roman" w:eastAsia="仿宋_GB2312" w:cs="Times New Roman"/>
          <w:bCs/>
          <w:kern w:val="2"/>
          <w:sz w:val="32"/>
          <w:szCs w:val="32"/>
        </w:rPr>
        <w:t>从刑民交叉这个关键问题入手，对涉案财物权属认定和分配的现实阻碍、程序缺陷进行深入分析。通过对竞合型、牵连型等刑民交叉形态进行类型化分析，提出建立一个以权属认定</w:t>
      </w:r>
      <w:r>
        <w:rPr>
          <w:rFonts w:hint="default" w:ascii="Times New Roman" w:hAnsi="Times New Roman" w:eastAsia="仿宋_GB2312" w:cs="Times New Roman"/>
          <w:bCs/>
          <w:kern w:val="2"/>
          <w:sz w:val="32"/>
          <w:szCs w:val="32"/>
          <w:lang w:eastAsia="zh-CN"/>
        </w:rPr>
        <w:t>为核心，</w:t>
      </w:r>
      <w:r>
        <w:rPr>
          <w:rFonts w:hint="default" w:ascii="Times New Roman" w:hAnsi="Times New Roman" w:eastAsia="仿宋_GB2312" w:cs="Times New Roman"/>
          <w:bCs/>
          <w:kern w:val="2"/>
          <w:sz w:val="32"/>
          <w:szCs w:val="32"/>
        </w:rPr>
        <w:t>分配机制为框架</w:t>
      </w:r>
      <w:r>
        <w:rPr>
          <w:rFonts w:hint="default" w:ascii="Times New Roman" w:hAnsi="Times New Roman" w:eastAsia="仿宋_GB2312" w:cs="Times New Roman"/>
          <w:bCs/>
          <w:kern w:val="2"/>
          <w:sz w:val="32"/>
          <w:szCs w:val="32"/>
          <w:lang w:eastAsia="zh-CN"/>
        </w:rPr>
        <w:t>的理论架构。</w:t>
      </w:r>
      <w:r>
        <w:rPr>
          <w:rFonts w:hint="default" w:ascii="Times New Roman" w:hAnsi="Times New Roman" w:eastAsia="仿宋_GB2312" w:cs="Times New Roman"/>
          <w:bCs/>
          <w:kern w:val="2"/>
          <w:sz w:val="32"/>
          <w:szCs w:val="32"/>
        </w:rPr>
        <w:t>在实体上严格区分刑事追缴和</w:t>
      </w:r>
      <w:r>
        <w:rPr>
          <w:rFonts w:hint="default" w:ascii="Times New Roman" w:hAnsi="Times New Roman" w:eastAsia="仿宋_GB2312" w:cs="Times New Roman"/>
          <w:bCs/>
          <w:kern w:val="2"/>
          <w:sz w:val="32"/>
          <w:szCs w:val="32"/>
          <w:lang w:eastAsia="zh-CN"/>
        </w:rPr>
        <w:t>正当</w:t>
      </w:r>
      <w:r>
        <w:rPr>
          <w:rFonts w:hint="default" w:ascii="Times New Roman" w:hAnsi="Times New Roman" w:eastAsia="仿宋_GB2312" w:cs="Times New Roman"/>
          <w:bCs/>
          <w:kern w:val="2"/>
          <w:sz w:val="32"/>
          <w:szCs w:val="32"/>
        </w:rPr>
        <w:t>民事权利，在程序上借鉴破产清算和独立“对物之诉”的理念，</w:t>
      </w:r>
      <w:r>
        <w:rPr>
          <w:rFonts w:hint="default" w:ascii="Times New Roman" w:hAnsi="Times New Roman" w:eastAsia="仿宋_GB2312" w:cs="Times New Roman"/>
          <w:bCs/>
          <w:kern w:val="2"/>
          <w:sz w:val="32"/>
          <w:szCs w:val="32"/>
          <w:lang w:eastAsia="zh-CN"/>
        </w:rPr>
        <w:t>建立</w:t>
      </w:r>
      <w:r>
        <w:rPr>
          <w:rFonts w:hint="default" w:ascii="Times New Roman" w:hAnsi="Times New Roman" w:eastAsia="仿宋_GB2312" w:cs="Times New Roman"/>
          <w:bCs/>
          <w:kern w:val="2"/>
          <w:sz w:val="32"/>
          <w:szCs w:val="32"/>
        </w:rPr>
        <w:t>“司法主导、专业辅助、权利人参与”的分配程序机制。</w:t>
      </w:r>
      <w:r>
        <w:rPr>
          <w:rFonts w:hint="default" w:ascii="Times New Roman" w:hAnsi="Times New Roman" w:eastAsia="仿宋_GB2312" w:cs="Times New Roman"/>
          <w:bCs/>
          <w:kern w:val="2"/>
          <w:sz w:val="32"/>
          <w:szCs w:val="32"/>
          <w:lang w:eastAsia="zh-CN"/>
        </w:rPr>
        <w:t>以</w:t>
      </w:r>
      <w:r>
        <w:rPr>
          <w:rFonts w:hint="default" w:ascii="Times New Roman" w:hAnsi="Times New Roman" w:eastAsia="仿宋_GB2312" w:cs="Times New Roman"/>
          <w:bCs/>
          <w:kern w:val="2"/>
          <w:sz w:val="32"/>
          <w:szCs w:val="32"/>
        </w:rPr>
        <w:t>达到打击犯罪、保障产权和维护交易安全三者之间法律上的平衡，给涉案财物处置的法治化、制度化提供理论支持和路径指引。</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0" w:firstLineChars="0"/>
        <w:jc w:val="both"/>
        <w:textAlignment w:val="auto"/>
        <w:rPr>
          <w:rFonts w:hint="default" w:ascii="Times New Roman" w:hAnsi="Times New Roman" w:eastAsia="仿宋_GB2312" w:cs="Times New Roman"/>
          <w:bCs/>
          <w:kern w:val="2"/>
          <w:sz w:val="32"/>
          <w:szCs w:val="32"/>
        </w:rPr>
      </w:pPr>
      <w:r>
        <w:rPr>
          <w:rFonts w:hint="default" w:ascii="Times New Roman" w:hAnsi="Times New Roman" w:eastAsia="仿宋_GB2312" w:cs="Times New Roman"/>
          <w:b/>
          <w:bCs w:val="0"/>
          <w:kern w:val="2"/>
          <w:sz w:val="32"/>
          <w:szCs w:val="32"/>
        </w:rPr>
        <w:t>关键词</w:t>
      </w:r>
      <w:r>
        <w:rPr>
          <w:rFonts w:hint="default" w:ascii="Times New Roman" w:hAnsi="Times New Roman" w:eastAsia="仿宋_GB2312" w:cs="Times New Roman"/>
          <w:b/>
          <w:bCs w:val="0"/>
          <w:kern w:val="2"/>
          <w:sz w:val="32"/>
          <w:szCs w:val="32"/>
          <w:lang w:eastAsia="zh-CN"/>
        </w:rPr>
        <w:t>：</w:t>
      </w:r>
      <w:r>
        <w:rPr>
          <w:rFonts w:hint="default" w:ascii="Times New Roman" w:hAnsi="Times New Roman" w:eastAsia="仿宋_GB2312" w:cs="Times New Roman"/>
          <w:bCs/>
          <w:kern w:val="2"/>
          <w:sz w:val="32"/>
          <w:szCs w:val="32"/>
        </w:rPr>
        <w:t>非法集资</w:t>
      </w:r>
      <w:r>
        <w:rPr>
          <w:rFonts w:hint="default" w:ascii="Times New Roman" w:hAnsi="Times New Roman" w:eastAsia="仿宋_GB2312" w:cs="Times New Roman"/>
          <w:bCs/>
          <w:kern w:val="2"/>
          <w:sz w:val="32"/>
          <w:szCs w:val="32"/>
          <w:lang w:eastAsia="zh-CN"/>
        </w:rPr>
        <w:t>；</w:t>
      </w:r>
      <w:r>
        <w:rPr>
          <w:rFonts w:hint="default" w:ascii="Times New Roman" w:hAnsi="Times New Roman" w:eastAsia="仿宋_GB2312" w:cs="Times New Roman"/>
          <w:bCs/>
          <w:kern w:val="2"/>
          <w:sz w:val="32"/>
          <w:szCs w:val="32"/>
        </w:rPr>
        <w:t>刑民交叉</w:t>
      </w:r>
      <w:r>
        <w:rPr>
          <w:rFonts w:hint="default" w:ascii="Times New Roman" w:hAnsi="Times New Roman" w:eastAsia="仿宋_GB2312" w:cs="Times New Roman"/>
          <w:bCs/>
          <w:kern w:val="2"/>
          <w:sz w:val="32"/>
          <w:szCs w:val="32"/>
          <w:lang w:eastAsia="zh-CN"/>
        </w:rPr>
        <w:t>；</w:t>
      </w:r>
      <w:r>
        <w:rPr>
          <w:rFonts w:hint="default" w:ascii="Times New Roman" w:hAnsi="Times New Roman" w:eastAsia="仿宋_GB2312" w:cs="Times New Roman"/>
          <w:bCs/>
          <w:kern w:val="2"/>
          <w:sz w:val="32"/>
          <w:szCs w:val="32"/>
        </w:rPr>
        <w:t>权属认定</w:t>
      </w:r>
      <w:r>
        <w:rPr>
          <w:rFonts w:hint="default" w:ascii="Times New Roman" w:hAnsi="Times New Roman" w:eastAsia="仿宋_GB2312" w:cs="Times New Roman"/>
          <w:bCs/>
          <w:kern w:val="2"/>
          <w:sz w:val="32"/>
          <w:szCs w:val="32"/>
          <w:lang w:eastAsia="zh-CN"/>
        </w:rPr>
        <w:t>；</w:t>
      </w:r>
      <w:r>
        <w:rPr>
          <w:rFonts w:hint="default" w:ascii="Times New Roman" w:hAnsi="Times New Roman" w:eastAsia="仿宋_GB2312" w:cs="Times New Roman"/>
          <w:bCs/>
          <w:kern w:val="2"/>
          <w:sz w:val="32"/>
          <w:szCs w:val="32"/>
        </w:rPr>
        <w:t xml:space="preserve">分配机制 </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jc w:val="both"/>
        <w:textAlignment w:val="auto"/>
        <w:rPr>
          <w:rFonts w:hint="default" w:ascii="Times New Roman" w:hAnsi="Times New Roman" w:eastAsia="仿宋_GB2312" w:cs="Times New Roman"/>
          <w:bCs/>
          <w:kern w:val="2"/>
          <w:sz w:val="32"/>
          <w:szCs w:val="32"/>
        </w:rPr>
      </w:pP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left"/>
        <w:textAlignment w:val="auto"/>
        <w:outlineLvl w:val="0"/>
        <w:rPr>
          <w:rFonts w:hint="eastAsia" w:ascii="黑体" w:hAnsi="黑体" w:eastAsia="黑体" w:cs="黑体"/>
          <w:b w:val="0"/>
          <w:bCs w:val="0"/>
          <w:kern w:val="44"/>
          <w:sz w:val="32"/>
          <w:szCs w:val="32"/>
          <w:lang w:val="en-GB"/>
        </w:rPr>
      </w:pPr>
      <w:r>
        <w:rPr>
          <w:rFonts w:hint="eastAsia" w:ascii="黑体" w:hAnsi="黑体" w:eastAsia="黑体" w:cs="黑体"/>
          <w:b w:val="0"/>
          <w:bCs w:val="0"/>
          <w:kern w:val="44"/>
          <w:sz w:val="32"/>
          <w:szCs w:val="32"/>
          <w:lang w:val="en-GB"/>
        </w:rPr>
        <w:t>一、刑民交叉下涉案财物处置的特殊性与分析框架</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仿宋_GB2312" w:cs="Times New Roman"/>
          <w:b/>
          <w:bCs/>
          <w:kern w:val="2"/>
          <w:sz w:val="32"/>
          <w:szCs w:val="32"/>
          <w:lang w:val="en-GB"/>
        </w:rPr>
      </w:pPr>
      <w:r>
        <w:rPr>
          <w:rFonts w:hint="default" w:ascii="Times New Roman" w:hAnsi="Times New Roman" w:eastAsia="仿宋_GB2312" w:cs="Times New Roman"/>
          <w:b/>
          <w:bCs/>
          <w:kern w:val="2"/>
          <w:sz w:val="32"/>
          <w:szCs w:val="32"/>
          <w:lang w:val="en-GB"/>
        </w:rPr>
        <w:t>（一）非法集资涉案财物的复合属性</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第一是涉案财物有明显刑事违法所得的性质。从刑事法律角度来考察，行为人以非法吸收公众存款或者集资诈骗等罪行所获得的资金及其转化形式，属于</w:t>
      </w:r>
      <w:r>
        <w:rPr>
          <w:rFonts w:hint="default" w:ascii="Times New Roman" w:hAnsi="Times New Roman" w:eastAsia="仿宋_GB2312" w:cs="Times New Roman"/>
          <w:sz w:val="32"/>
          <w:szCs w:val="32"/>
          <w:lang w:eastAsia="zh-CN"/>
        </w:rPr>
        <w:t>《中华人民共和国刑法》</w:t>
      </w:r>
      <w:r>
        <w:rPr>
          <w:rFonts w:hint="default" w:ascii="Times New Roman" w:hAnsi="Times New Roman" w:eastAsia="仿宋_GB2312" w:cs="Times New Roman"/>
          <w:sz w:val="32"/>
          <w:szCs w:val="32"/>
        </w:rPr>
        <w:t>第六十四条所指的“违法所得”。该属性的本质就是它的来源是非法的。按照任何人不得因为犯罪而获利的正义原则和剥夺犯罪人经济基础的预防目的，依靠公权力介入，对涉案财物进行追缴、没收。不论是关于办理非法集资刑事案件适用法律若干问题的意见把“向社会公众非法吸收的资金”定义为违法所得，还是司法实践中对于集资参与人的已获高额利息进行追缴，都体现出对该种刑事性质的认定和强化。但是，在实践当中却存在许多问题，即当资金已经转化为房产、股权或者和行为人的合法财产混合的时候，其“违法所得”的界限就变得模糊不清了；更重要的就是刑事追缴的概括性和强制性，很容易与民事法律关系中已经形成稳定的财产秩序产生冲突。</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二，涉案财物属于民事争议标的是复杂的。在刑民交叉的背景之下，涉案财物不是只由刑事法律来单独评价。它又成为众多平行民事法律关系的中心，有民事争议标的的性质。其一是合同关系的标的物。每一个集资参与者和</w:t>
      </w:r>
      <w:r>
        <w:rPr>
          <w:rFonts w:hint="default" w:ascii="Times New Roman" w:hAnsi="Times New Roman" w:eastAsia="仿宋_GB2312" w:cs="Times New Roman"/>
          <w:sz w:val="32"/>
          <w:szCs w:val="32"/>
          <w:lang w:eastAsia="zh-CN"/>
        </w:rPr>
        <w:t>行为</w:t>
      </w:r>
      <w:r>
        <w:rPr>
          <w:rFonts w:hint="default" w:ascii="Times New Roman" w:hAnsi="Times New Roman" w:eastAsia="仿宋_GB2312" w:cs="Times New Roman"/>
          <w:sz w:val="32"/>
          <w:szCs w:val="32"/>
        </w:rPr>
        <w:t>人之间，都有一个独立的借贷或者投资合同。根据《最高人民法院关于审理民间借贷案件适用法律若干问题的规定（2020年第二次修正）》第十三条规定，此类合同并不因为一方构成犯罪而当然无效。这就意味着，从民事角度而言，集资参与人的本金和合理区间内的利息请求权，可能会因为有效的合同关系而产生。其二，是物权和担保权所指向的标的物。实践中大量存在着集资人用集资款购买的房产为个别集资参与人设抵押担保的情况。此时，涉案财物就负载起了担保物权这种具有优先效力的民事权利。其三，可能会牵涉到债权债务的清偿标的问题。集资人可能会把部分资金用作清偿其他合法或者非法的债务，产生与案外第三人的债权债务关系。涉案财物的民事属性即其权属认定及处置要尊重并审查已经存在的民事法律关系，包括合同效力、善意取得、担保物权优先性等规则。但是目前“先刑后民”甚至“以刑代民”的实践惯性，常常是用刑事追缴的概括判决来代替对这些具体的民事权利一一甄别和保护，造成担保物权失灵、合法债权落空等实质上的不公平，这就是刑民冲突最激烈的地方。</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最后，涉案财物具有涉众型。非法集资案件牵涉人数众多、金额巨大、地域广阔，它的处置结果直接影响到社会稳定和金融安全，因此涉案财物天然就具有了公共性和社会性。该属性要求处置程序要同时考虑维稳的政治因素和公平返还的社会需求。一方面为了防止群体性事件的发生，公权力机关会采取以行政化、集中</w:t>
      </w:r>
      <w:r>
        <w:rPr>
          <w:rFonts w:hint="default" w:ascii="Times New Roman" w:hAnsi="Times New Roman" w:eastAsia="仿宋_GB2312" w:cs="Times New Roman"/>
          <w:sz w:val="32"/>
          <w:szCs w:val="32"/>
          <w:lang w:eastAsia="zh-CN"/>
        </w:rPr>
        <w:t>化</w:t>
      </w:r>
      <w:r>
        <w:rPr>
          <w:rFonts w:hint="default" w:ascii="Times New Roman" w:hAnsi="Times New Roman" w:eastAsia="仿宋_GB2312" w:cs="Times New Roman"/>
          <w:sz w:val="32"/>
          <w:szCs w:val="32"/>
        </w:rPr>
        <w:t>的方式来处置</w:t>
      </w:r>
      <w:r>
        <w:rPr>
          <w:rFonts w:hint="default" w:ascii="Times New Roman" w:hAnsi="Times New Roman" w:eastAsia="仿宋_GB2312" w:cs="Times New Roman"/>
          <w:sz w:val="32"/>
          <w:szCs w:val="32"/>
          <w:lang w:eastAsia="zh-CN"/>
        </w:rPr>
        <w:t>，以</w:t>
      </w:r>
      <w:r>
        <w:rPr>
          <w:rFonts w:hint="default" w:ascii="Times New Roman" w:hAnsi="Times New Roman" w:eastAsia="仿宋_GB2312" w:cs="Times New Roman"/>
          <w:sz w:val="32"/>
          <w:szCs w:val="32"/>
        </w:rPr>
        <w:t>达到快速高效和表面稳定的目的。另一方面，在资金池不能承担全部损失的情况下，“按比例平等地返还”，是基本的公平原则，意在防止由于个别权利人的优先受偿而使大多数参与者血本无归，引发社会矛盾。但是，由于以结果公平为特征的社会管理属性往往与强调个体权利保障、法律关系特定民事性质的价值冲突。为了达到全体参与人比例公平的目的，而否定个别善意抵押权人的法定优先权，实际上是用社会整体利益的名义，牺牲了某个具体主体的合法财产权，破坏了物权法秩序的稳定性和可预见性。</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仿宋_GB2312" w:cs="Times New Roman"/>
          <w:b/>
          <w:bCs/>
          <w:kern w:val="2"/>
          <w:sz w:val="32"/>
          <w:szCs w:val="32"/>
          <w:lang w:val="en-GB"/>
        </w:rPr>
      </w:pPr>
      <w:r>
        <w:rPr>
          <w:rFonts w:hint="default" w:ascii="Times New Roman" w:hAnsi="Times New Roman" w:eastAsia="仿宋_GB2312" w:cs="Times New Roman"/>
          <w:b/>
          <w:bCs/>
          <w:kern w:val="2"/>
          <w:sz w:val="32"/>
          <w:szCs w:val="32"/>
          <w:lang w:val="en-GB"/>
        </w:rPr>
        <w:t>（二）“刑民交叉”的本质与类型化</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非法集资案件中“刑民交叉”的现象，不是单纯的程序选择问题，实际上是同一或者关联的事实，在</w:t>
      </w:r>
      <w:r>
        <w:rPr>
          <w:rFonts w:hint="default" w:ascii="Times New Roman" w:hAnsi="Times New Roman" w:eastAsia="仿宋_GB2312" w:cs="Times New Roman"/>
          <w:sz w:val="32"/>
          <w:szCs w:val="32"/>
          <w:lang w:eastAsia="zh-CN"/>
        </w:rPr>
        <w:t>刑事</w:t>
      </w:r>
      <w:r>
        <w:rPr>
          <w:rFonts w:hint="default" w:ascii="Times New Roman" w:hAnsi="Times New Roman" w:eastAsia="仿宋_GB2312" w:cs="Times New Roman"/>
          <w:sz w:val="32"/>
          <w:szCs w:val="32"/>
        </w:rPr>
        <w:t>和</w:t>
      </w:r>
      <w:r>
        <w:rPr>
          <w:rFonts w:hint="default" w:ascii="Times New Roman" w:hAnsi="Times New Roman" w:eastAsia="仿宋_GB2312" w:cs="Times New Roman"/>
          <w:sz w:val="32"/>
          <w:szCs w:val="32"/>
          <w:lang w:eastAsia="zh-CN"/>
        </w:rPr>
        <w:t>民事规范视角下，两者</w:t>
      </w:r>
      <w:r>
        <w:rPr>
          <w:rFonts w:hint="default" w:ascii="Times New Roman" w:hAnsi="Times New Roman" w:eastAsia="仿宋_GB2312" w:cs="Times New Roman"/>
          <w:sz w:val="32"/>
          <w:szCs w:val="32"/>
        </w:rPr>
        <w:t>不同</w:t>
      </w:r>
      <w:r>
        <w:rPr>
          <w:rFonts w:hint="default"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评价目的和构成要件，</w:t>
      </w:r>
      <w:r>
        <w:rPr>
          <w:rFonts w:hint="default" w:ascii="Times New Roman" w:hAnsi="Times New Roman" w:eastAsia="仿宋_GB2312" w:cs="Times New Roman"/>
          <w:sz w:val="32"/>
          <w:szCs w:val="32"/>
          <w:lang w:eastAsia="zh-CN"/>
        </w:rPr>
        <w:t>会</w:t>
      </w:r>
      <w:r>
        <w:rPr>
          <w:rFonts w:hint="default" w:ascii="Times New Roman" w:hAnsi="Times New Roman" w:eastAsia="仿宋_GB2312" w:cs="Times New Roman"/>
          <w:sz w:val="32"/>
          <w:szCs w:val="32"/>
        </w:rPr>
        <w:t>同时或者先后产生出刑事和民事两个法律关系并存、交织</w:t>
      </w:r>
      <w:r>
        <w:rPr>
          <w:rFonts w:hint="default" w:ascii="Times New Roman" w:hAnsi="Times New Roman" w:eastAsia="仿宋_GB2312" w:cs="Times New Roman"/>
          <w:sz w:val="32"/>
          <w:szCs w:val="32"/>
          <w:lang w:eastAsia="zh-CN"/>
        </w:rPr>
        <w:t>和</w:t>
      </w:r>
      <w:r>
        <w:rPr>
          <w:rFonts w:hint="default" w:ascii="Times New Roman" w:hAnsi="Times New Roman" w:eastAsia="仿宋_GB2312" w:cs="Times New Roman"/>
          <w:sz w:val="32"/>
          <w:szCs w:val="32"/>
        </w:rPr>
        <w:t>冲突的情况。如果只把它理解为“先刑后民”或者“刑民并行”的程序规则，就会忽略掉实体法层面的价值判断和权利配置的根本性分歧。因此</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有必要冲破表象，从实体的法律关系入手，对刑民交叉进行精细化</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类型化，来认识其内在逻辑和司法困境。</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参考已有研究，非法集资案件中刑民交叉</w:t>
      </w:r>
      <w:r>
        <w:rPr>
          <w:rFonts w:hint="default" w:ascii="Times New Roman" w:hAnsi="Times New Roman" w:eastAsia="仿宋_GB2312" w:cs="Times New Roman"/>
          <w:sz w:val="32"/>
          <w:szCs w:val="32"/>
          <w:lang w:eastAsia="zh-CN"/>
        </w:rPr>
        <w:t>法律</w:t>
      </w:r>
      <w:r>
        <w:rPr>
          <w:rFonts w:hint="default" w:ascii="Times New Roman" w:hAnsi="Times New Roman" w:eastAsia="仿宋_GB2312" w:cs="Times New Roman"/>
          <w:sz w:val="32"/>
          <w:szCs w:val="32"/>
        </w:rPr>
        <w:t>关系，可以按照法律事实的关联性和评价对象的同一性，分为以下三种基本形态：</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一类是法律事实竞合型。该类是指同一个自然事实同时具备了刑事犯罪的构成要件和民事法律关系的构成要件，刑法与民法对于同一行为采取平行评价的方式。在非法吸收公众存款罪里，行为人对不特定公众的吸收资金整体集合的行为被刑法评价为犯罪，而该集合行为中的每一个具体的借款合同又是民法上借贷法律关系的一个组成部分。此时的刑事评价对象为“面向不特定多数人的吸收资金”，而民事评价的对象是单个、具体的行为即合同的意思表示及履行行为。两者评价的角度和规范的目的不一样，但是都以同样的事实为基础。目前司法解释以及部分司法实践中把此类情况一律按照“先刑后民”的原则来处理，甚至直接用刑事程序吸收民事纠纷处理，其潜在的逻辑就是将集合行为的刑事违法性，直接辐射到每一个独立的民事合同上，造成“以刑代民”的倾向。</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二类是法律事实牵连型。指非法集资的刑事法律事实和民事法律事实不是同一个，但是两者在时间、主体或者客体上有密切联系，形成事实上的牵连。典型的有赃款转化和处置牵连的情形：行为人将非法吸收的资金用于购置不动产、股权等之后，又将该资产为第三人设立抵押担保或者转让给第三人的。此时非法集资行为（刑事事实）和随后产生的抵押合同、买卖合同（民事事实）是互相独立的，但是由于资金的一致性而存在牵连；担保关系牵连，在非法集资的过程中，集资人或者第三人对单个借款行为提供物权担保或者保证。借款行为可能会被纳入刑事评价，但是担保合同的订立本身就是一项独立的民事法律行为。该种类型的共同特点就是民事法律关系的产生和效力，并不是由刑事犯罪的存在而必然发生，二者的评价对象是分离的。但是目前司法实践中存在的一个重大误区就是把这类“牵连型”的交叉案件简单地认定为“竞合型”处理。在“杜益敏案”等判例里，法院将以集资款所购房产设立的抵押权直接认定为非法集资犯罪的构成部分，否定抵押权人优先受偿权。该种做法实质上就是把只具有事实牵连的、独立的民事法律行为，强行纳入到刑事犯罪的评价体系中，在刑事违法性否定民事法律行为独立效力的基础上，严重侵犯了善意第三人合法的物权和交易安全，体现的是“重刑轻民”、“重打击轻保护”的思维惯性。</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三类是责任主体关联性。该类案件中，由于非法集资犯罪涉及的主体具有特殊性，导致刑事责任主体和民事责任主体范围交叉、不完全重合。典型的比如单位进行非法集资犯罪的时候，其刑事责任是由单位和直接负责的主管人员、其他直接责任人员来分担的，在民事上，除了单位要以全部财产承担责任以外，还会牵涉到出资瑕疵股东对于自己未出资部分的补充赔偿责任、实际控制人对单位债务的连带责任、将犯罪所得用于家庭共同生活的配偶对剩余债务的清偿责任等等。此时刑事追缴、责令退赔的对象同民事债务清偿对象不同，程序交错就会产生财产执行冲突。比如刑事判决要求被告人退赔，而同时民事判决又判令单位承担还款责任，如果单位财产和个人财产混同或者均不足以清偿，则会遇到执行顺位和财产分配的问题。</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上述类型的分析表明，非法集资刑民交叉的本质是复杂的，并不能用先刑后民的原则来概括。目前司法实践中主要的弊病就是类型认定不清、处置方式粗糙，特别是普遍存在着将“牵连型”上升为“竞合型”的处理倾向。由此产生的倾向就是片面追求“追赃挽损”所期望的社会效果和简化处置的司法效率，而忽略法律关系的准确区分以及民事权利的合法保护。结果就是，不仅损害了担保物权人等案外第三人利益，动摇了物权法定和交易安全基础，而且使刑事程序不堪重负，不能对复杂权属争议进行专业处理。因此，科学的处置机制要依靠精准的类型识别来创建起来：对竞合型案件应当调解刑事和民事评价之间的矛盾，维护民事合同的相对独立性；对于牵连型案件必须要坚持刑民评价分离的原则，保证独立的民事法律行为的有效性和第三人的权利；对于责任主体关联型案件，则需要创建起刑民责任对接、财产顺位分派规则。只有这样，才能找到在打击犯罪和保护产权、维护金融秩序与保障交易安全之间求得合乎法理的平衡点。</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仿宋_GB2312" w:cs="Times New Roman"/>
          <w:b/>
          <w:bCs/>
          <w:kern w:val="2"/>
          <w:sz w:val="32"/>
          <w:szCs w:val="32"/>
          <w:lang w:val="en-GB"/>
        </w:rPr>
      </w:pPr>
      <w:r>
        <w:rPr>
          <w:rFonts w:hint="default" w:ascii="Times New Roman" w:hAnsi="Times New Roman" w:eastAsia="仿宋_GB2312" w:cs="Times New Roman"/>
          <w:b/>
          <w:bCs/>
          <w:kern w:val="2"/>
          <w:sz w:val="32"/>
          <w:szCs w:val="32"/>
          <w:lang w:val="en-GB"/>
        </w:rPr>
        <w:t>（三）建立权属认定、分配机制一体化分析框架</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权属认定应作为处置程序实体规则适用的中心。权属认定即回答出哪些财物应该被纳入处置范围，又如何在法律上归于谁的问题。这不是一个简单的刑事追缴决定，而是一个把刑法、民法、物权法、合同法以及公司法等各种实体法规范融合在一起的综合判断过程。其主要任务就是给涉案财物的法律性质</w:t>
      </w:r>
      <w:r>
        <w:rPr>
          <w:rFonts w:hint="eastAsia" w:eastAsia="仿宋_GB2312" w:cs="Times New Roman"/>
          <w:sz w:val="32"/>
          <w:szCs w:val="32"/>
          <w:lang w:eastAsia="zh-CN"/>
        </w:rPr>
        <w:t>作</w:t>
      </w:r>
      <w:r>
        <w:rPr>
          <w:rFonts w:hint="default" w:ascii="Times New Roman" w:hAnsi="Times New Roman" w:eastAsia="仿宋_GB2312" w:cs="Times New Roman"/>
          <w:sz w:val="32"/>
          <w:szCs w:val="32"/>
        </w:rPr>
        <w:t>出准确的“画像”，即第一，确定它是不是属于刑法第六十四条所指的“违法所得”、“违禁品”或者“供犯罪所用的本人财物”；第二，在庞大的“违法所得”之中，再细分出具有独立民事权利的那部分，即根据有效的合同、依法设立的担保物权、符合善意取得规则的物权等；第三，区分集资人的个人财产、家庭共有财产和单位法人财产。该过程需要司法者冲破刑事吸收民事的惯性思维，在刑民法律规范交织的地方做精细的法律解释和适用。对于用集资款购买并设立抵押的房产，权属认定要同时考虑刑事追缴的合法性和民事担保物权的有效性两个方面，并且两者并行不悖，共同成为对财物最终法律处分的实体依据。</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分配机制作为处置目标的程序路径的保障。在实体权属得到确定之后，怎样把认定的结果转化为公平、高效、可以接受的财产分配现实，就需要依靠科学合理程序机制来实现。分配机制的核心就是设计出一个可以接纳多元主体参与、保证各方面的程序权利、最后形成有公信力的分配方案的诉讼或者准诉讼程序。它要解决一系列程序性的难题，即采用“先刑后民”的顺次模式，还是创建起刑民并行的审理结构？依靠现有刑事诉讼框架实行“附带处理”，还是引入独立的“对物之诉”或者参照破产清算程序？在资产变现和款项分配环节，怎样保证透明度，保障集资参与人、案外债权人对知情权、异议权和监督权</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目前实践中行政化的处置存在弊端，司法化的程序又存在着不足，都显示出需要创建起一个独立、公正的分配体系的必要性。理想化的分配机制应该能够有效地对接权属认定的实体结果，在公开、对抗、专业的程序安排下，把纸面上的权利转化为现实中的财产返还或者赔偿。</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最后，权属认定和分配机制一起服务于“法益平衡”这个最终目的。一体化框架的内在逻辑就是，权属认定和分配机制不是前后工序，而是互相影响、动态调适的有机整体。实体权属认定的宽严尺度会影响到可分配财产的范围以及各方面的受偿期望，从而影响到分配程序的社会接受程度和维稳压力。相反，分配程序的理念，即是否坚持绝对比例平等、是否设定优先受偿顺序，都会倒逼司法机关在权属认定阶段要更加慎重、更加明确地对相关的民事权利是否存在进行判断。两者统一在“法益平衡”的这一更高一级的司法政策目标之下，即在打击犯罪、剥夺收益、保护被害人的财产权、保护案外第三人的合法权益的基础上，找到一个符合法律、情势、经得起批判的平衡点。片面强调任何一个单一的价值，例如为了达到“维稳”和“比例返还”的目的而忽略担保物权，或者为了保护个别交易的安全而牺牲大多数受害人的基本公平，都会造成系统失衡。</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left"/>
        <w:textAlignment w:val="auto"/>
        <w:outlineLvl w:val="0"/>
        <w:rPr>
          <w:rFonts w:hint="eastAsia" w:ascii="黑体" w:hAnsi="黑体" w:eastAsia="黑体" w:cs="黑体"/>
          <w:b/>
          <w:bCs/>
          <w:kern w:val="44"/>
          <w:sz w:val="32"/>
          <w:szCs w:val="32"/>
          <w:lang w:val="en-GB"/>
        </w:rPr>
      </w:pPr>
      <w:r>
        <w:rPr>
          <w:rFonts w:hint="eastAsia" w:ascii="黑体" w:hAnsi="黑体" w:eastAsia="黑体" w:cs="黑体"/>
          <w:b w:val="0"/>
          <w:bCs w:val="0"/>
          <w:kern w:val="44"/>
          <w:sz w:val="32"/>
          <w:szCs w:val="32"/>
          <w:lang w:val="en-GB"/>
        </w:rPr>
        <w:t>二、实体困境：涉案财物权属认定的规则冲突与解释论出路</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仿宋_GB2312" w:cs="Times New Roman"/>
          <w:b/>
          <w:bCs/>
          <w:kern w:val="2"/>
          <w:sz w:val="32"/>
          <w:szCs w:val="32"/>
          <w:lang w:val="en-GB"/>
        </w:rPr>
      </w:pPr>
      <w:r>
        <w:rPr>
          <w:rFonts w:hint="default" w:ascii="Times New Roman" w:hAnsi="Times New Roman" w:eastAsia="仿宋_GB2312" w:cs="Times New Roman"/>
          <w:b/>
          <w:bCs/>
          <w:kern w:val="2"/>
          <w:sz w:val="32"/>
          <w:szCs w:val="32"/>
          <w:lang w:val="en-GB"/>
        </w:rPr>
        <w:t>（一）“违法所得”范围的扩张与限缩</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《最高人民法院、最高人民检察院、公安部关于办理非法集资刑事案件适用法律若干问题的意见》（以下简称《非法集资意见》）</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2014年</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第五条的规定是“向社会公众非法吸收的资金，应当认定为违法所得”。这一定义把追缴限定在有证据证明存在财产性损害的情况下，给司法实践赋予了操作性的准则。但是它的概括性、绝对化表述，在处理非法集资刑民交叉案件复杂的财产关系时，表现出明显的扩张趋势，引发对于违法所得范围边界和认定逻辑的激烈争议。对于违法所得范围的科学界定，在打击犯罪、剥夺不法利益和保护合法财产权、维护交易安全之间要</w:t>
      </w:r>
      <w:r>
        <w:rPr>
          <w:rFonts w:hint="eastAsia" w:eastAsia="仿宋_GB2312" w:cs="Times New Roman"/>
          <w:sz w:val="32"/>
          <w:szCs w:val="32"/>
          <w:lang w:eastAsia="zh-CN"/>
        </w:rPr>
        <w:t>作</w:t>
      </w:r>
      <w:r>
        <w:rPr>
          <w:rFonts w:hint="default" w:ascii="Times New Roman" w:hAnsi="Times New Roman" w:eastAsia="仿宋_GB2312" w:cs="Times New Roman"/>
          <w:sz w:val="32"/>
          <w:szCs w:val="32"/>
        </w:rPr>
        <w:t>出审慎权衡，不能因为“一刀切”的泛化而造成实质上的不公平。</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于本金和利息的区分处理，主要的争议就是集资参与人已经获得高额利息是否应当予以追缴。《非法集资意见》明确指出，以吸收的资金向集资参与人支付的利息、分红等回报，应当依法予以追缴。其法理基础就是利息是非法集资的“违法所得”，所以利息本身就具有违法性，应当予以剥夺。但是该规定在刑民交叉语境下存在严重的缺陷。从民事角度来讲，根据最高人民法院关于审理民间借贷案件适用法律若干问题的规定，单个借贷合同并不因为集资人构成犯罪而当然无效</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在合同有效的前提下，集资参与人在法定利率保护范围内的利息，比如年利率24%以内，是基于有效合同形成的合法期待利益或者已经取得的债权。刑事程序径行追缴全部利息，实质上是将刑事违法性评价直接否定为民事法律行为的效力和产生的财产后果，属于典型的“以刑代民”。有的观点认为，追缴高息，如超过年利率36%部分，有合理之处，因为这是民事上的不当得利；但是对法律保护范围内利息一律追缴，则没有足够的法理依据，而且与“任何人不得从犯罪中获利”的原则的适用对象存在逻辑矛盾。实践中，一概追缴的做法虽然可以实现集资参与人之间的比例返还的形式公平，但是却以牺牲特定主体的合法权利为代价，其正当性需要被质疑。</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关于资金转化形态的追及效力，即违法所得“赃款赃物”追缴的问题。非法集资资金大多被用来购置房产、股权、虚拟资产等，变成新的财产形态。《最高人民法院关于刑事裁判涉财产部分执行的若干规定》第十条规定，对于赃款赃物投资或者置业形成的财产及收益应当予以追缴。该条文确立的是刑事追缴的“追及”原则。但是，在牵连型的刑民交叉</w:t>
      </w:r>
      <w:r>
        <w:rPr>
          <w:rFonts w:hint="default" w:ascii="Times New Roman" w:hAnsi="Times New Roman" w:eastAsia="仿宋_GB2312" w:cs="Times New Roman"/>
          <w:sz w:val="32"/>
          <w:szCs w:val="32"/>
          <w:lang w:val="en-US" w:eastAsia="zh-CN"/>
        </w:rPr>
        <w:t>非法集资</w:t>
      </w:r>
      <w:r>
        <w:rPr>
          <w:rFonts w:hint="default" w:ascii="Times New Roman" w:hAnsi="Times New Roman" w:eastAsia="仿宋_GB2312" w:cs="Times New Roman"/>
          <w:sz w:val="32"/>
          <w:szCs w:val="32"/>
        </w:rPr>
        <w:t>案件中则更为复杂。集资人将集资款用于购买房产之后，又为善意第三人设立抵押权，则会出现刑事追缴权与民事担保物权之间的冲突。如果采用机械适用的追及原则，不顾抵押权人的善意取得事实，将会严重破坏交易的安全和物权秩序。所以，对于转化形态的财产进行追缴，不能只关注财产的物理来源，还要审查财产上所承载的第三方合法权利。对于符合善意取得条件的物权，特别是担保物权，刑事追缴要受到限制，在抵押权人明知是赃款等恶意的情形下，才可突破。这就需要司法实践对善意取得在刑事追赃中的适用标准进行精细化的认定，并不能因为有赃款购置就一律否定。</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有关合法财产和非法财产的混同问题，是涉案财物权属认定中技术性最强的一个难点。非法集资长期经营中，集资人最初的合法财产、经营合法收入和后续的非法集资款往往混在一起，难以区分清楚。对此，理论上存在着总额说和净额说的争论。总额说认为，凡是来自于非法集资行为的所有资金及其转化收益，都应当属于违法所得，不应从其中扣除所谓的犯罪成本或者投入的合法资金。此说可以从根本上剥夺犯罪所得，具有很强的震慑作用，但是可能会不当扩大追缴范围，把行为人的合法财产或者其经营过程中形成的合法增值部分一并纳入。净额说认为违法所得仅限于非法集资行为所获得的纯收益，并且需要减去行为人投入的合法成本或者资金。该说法更加符合“任何人不得从犯罪中获利”，但是对成本的界定十分困难，并且可能会变相鼓励犯罪分子加大“合法”投入来洗白赃款。</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违法所得的认定上应该坚持总额说的立场，在最后的财产分割中则要依靠精细化的制度来体现公平。理由有以下两点，一是从证明角度来讲，在非法集资资金与合法财产高度混同的时候，要求司法机关准确地区分每一笔资金的非法来源和合法来源，计算出净收益，在诉讼中几乎不可能完成，会使得司法效率降低、认定标准变得模糊。采用总额说，即对特定期间内与非法集资活动紧密联系的财产整体认定为违法所得范围，符合诉讼经济原则，也是之后财产管理、变价的明确标的是基础。第二，总额说的潜在不公平并不可矫枉过正。可能会导致的扩大化弊端，在财产分配机制中设置科学的债权审查和清偿顺序可以得到化解。在经过司法管理人清理财产后，可以允许合法债权的享有者，提供真实商品或者服务的供应商、善意的借款人等，申报债权，并由审查确认后，在分配方案中予以清偿。本质上就是把“净额说”所要解决的公平性问题，由原来的难以操作的违法所得实体认定阶段，移到了具有程序保障的财产分配方案形成阶段来加以解决。采用公开、平等的分配方式，考虑合法财产权利人的合法权益，实现实质上的公平。</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仿宋_GB2312" w:cs="Times New Roman"/>
          <w:b/>
          <w:bCs/>
          <w:kern w:val="2"/>
          <w:sz w:val="32"/>
          <w:szCs w:val="32"/>
          <w:lang w:val="en-GB"/>
        </w:rPr>
      </w:pPr>
      <w:r>
        <w:rPr>
          <w:rFonts w:hint="default" w:ascii="Times New Roman" w:hAnsi="Times New Roman" w:eastAsia="仿宋_GB2312" w:cs="Times New Roman"/>
          <w:b/>
          <w:bCs/>
          <w:kern w:val="2"/>
          <w:sz w:val="32"/>
          <w:szCs w:val="32"/>
          <w:lang w:val="en-GB"/>
        </w:rPr>
        <w:t>（二）民事权利在刑事程序中的命运：效力与优先性</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420"/>
        <w:jc w:val="both"/>
        <w:textAlignment w:val="auto"/>
        <w:outlineLvl w:val="2"/>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rPr>
        <w:t>集资合同效力之争</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非法集资刑民交叉案件中，涉案财物处置的逻辑起点之一就是确定集资参与人和集资人之间的基本法律关系性质及效力。对于此，理论和实务界一直存在着合同无效说和合同有效说的激烈对立，二者的背后就是刑法与民法在价值取向、规范目的上所表现出的巨大张力。对于这一争议的系统评析和超越，是形成科学处置机制不可缺少的一部分。</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合同无效说及它的论据认为，只要集资行为被认定为刑事犯罪，那么与之相关的民间借贷合同或者变相的借贷合同就应当被视为无效。其主要依据就是合同的违法性。该说认为集资行为构成非法吸收公众存款罪或者集资诈骗罪，刑法规范属于原《合同法》第52条所指的“法律、行政法规的强制性规定”。既然行为已经构成犯罪，说明其社会危害性达到最严重程度，合同内容因此而自始无效。该说常援引“以合法形式掩盖非法目的”作为辅助理由，认为签订借款合同只是集资人实施犯罪的手段，其真实目的是非法吸收公众存款或者诈骗财物，所以合同应当无效。从法秩序统一性的朴素理解出发，该说认为，已经对行为作出了最严厉的否定性评价，在民事上仍然认定合同有效的，就会造成法律评价体系内部的矛盾，损害司法权威。在实践中，部分司法判决直接引用刑事判决书所认定的事实，以违反强制性规定为由，宣告有关借款合同、担保合同无效。</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“合同有效说”及论据是以</w:t>
      </w:r>
      <w:r>
        <w:rPr>
          <w:rFonts w:hint="default" w:ascii="Times New Roman" w:hAnsi="Times New Roman" w:eastAsia="仿宋_GB2312" w:cs="Times New Roman"/>
          <w:sz w:val="32"/>
          <w:szCs w:val="32"/>
          <w:lang w:eastAsia="zh-CN"/>
        </w:rPr>
        <w:t>《最高人民法院关于审理民间借贷案件使用法律若干问题的规定》</w:t>
      </w:r>
      <w:r>
        <w:rPr>
          <w:rFonts w:hint="default" w:ascii="Times New Roman" w:hAnsi="Times New Roman" w:eastAsia="仿宋_GB2312" w:cs="Times New Roman"/>
          <w:sz w:val="32"/>
          <w:szCs w:val="32"/>
        </w:rPr>
        <w:t>第13条作为直接依据的，认为借款人或出借人借贷行为涉嫌犯罪，或者已经生效的判决认定构成犯罪的，当事人提起民事诉讼的，民间借贷合同并不当然无效。其论据更有层次性，即评价对象分离论。刑法评价的是“向社会不特定公众吸收资金”这一集合行为对金融管理秩序的破坏，而民法评价的是单个出借人与集资人之间的具体、独立的借款合同。单个合同的订立，并不一定违反民事法律的效力性规定。其次就是规范目的区分说。非法吸收公众存款罪违背的是</w:t>
      </w:r>
      <w:r>
        <w:rPr>
          <w:rFonts w:hint="default" w:ascii="Times New Roman" w:hAnsi="Times New Roman" w:eastAsia="仿宋_GB2312" w:cs="Times New Roman"/>
          <w:sz w:val="32"/>
          <w:szCs w:val="32"/>
          <w:lang w:eastAsia="zh-CN"/>
        </w:rPr>
        <w:t>《中华人民共和国商业银行法》</w:t>
      </w:r>
      <w:r>
        <w:rPr>
          <w:rFonts w:hint="default" w:ascii="Times New Roman" w:hAnsi="Times New Roman" w:eastAsia="仿宋_GB2312" w:cs="Times New Roman"/>
          <w:sz w:val="32"/>
          <w:szCs w:val="32"/>
        </w:rPr>
        <w:t>第11条的管理性强制性规定，在性质上属于对金融市场进行监督管理的规定，并不是直接否定私人间借贷合意效力的法律规范。违反上述规定，会引发行政或者刑事责任，但是不能直接导致合同无效。第三就是对善意相对人理论的保护。在大多数的非法集资案件里，集资参与人、出借人不知道集资人的犯罪意图，属于善意一方。认定合同有效，有利于保护其根据合同享有利息请求权，在有担保的情况下，可以使其通过向担保人追偿获得更多的救济，符合公平原则。</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批判性审视与区分论的提出：两种学说都有理由，但两者都有一个一刀切的缺陷，不能很好地体现非法集资案件内部差异很大的特点。“合同无效说”过于机械、扩张，把刑事违法性直接、无条件地传导到所有的民事合同上，忽略了民事法律关系的独立性和复杂性，在集资参与人善意并且合同本身没有其他瑕疵的情况下，会导致实质上的不公平，并会大大削弱担保制度的稳定性。虽然“合同有效说”更具有进步性，但是如果绝对化使用的话，在集资诈骗等行为人有明显的非法占有目的、合同纯粹是欺诈工具的情况下，逻辑就会变得非常牵强，而且可能会给明知非法集资仍然积极参与并且获取高额利息的出借人带来不当的利益。</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因此，对于集资合同效力的认定，不能采取非此即彼的“一刀切”思维，而应该以合同本身的效力作为核心判断标准，并考虑刑民规范的目的以及个案的具体情况来实行“区分论”。</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区分集资犯罪的类型与欺诈程度。对于集资诈骗罪，行为人一开始就有非法占有的目的，其与出借人签订的合同纯粹是欺诈手段，没有履行的真实意愿。此时该合同应被认定为可撤销，依照</w:t>
      </w:r>
      <w:r>
        <w:rPr>
          <w:rFonts w:hint="default" w:ascii="Times New Roman" w:hAnsi="Times New Roman" w:eastAsia="仿宋_GB2312" w:cs="Times New Roman"/>
          <w:sz w:val="32"/>
          <w:szCs w:val="32"/>
          <w:lang w:eastAsia="zh-CN"/>
        </w:rPr>
        <w:t>《中华人民共和国民法典》</w:t>
      </w:r>
      <w:r>
        <w:rPr>
          <w:rFonts w:hint="default" w:ascii="Times New Roman" w:hAnsi="Times New Roman" w:eastAsia="仿宋_GB2312" w:cs="Times New Roman"/>
          <w:sz w:val="32"/>
          <w:szCs w:val="32"/>
        </w:rPr>
        <w:t>第148条关于欺诈的规定，撤销权归受欺诈一方。如果出借人没有行使撤销权，在保护交易外观、简化法律关系的角度下，可以维持合同形式上的效力，但是在刑事追缴与民事返还的实体处理上，应当体现它来源于欺诈的本质。对于非法吸收公众存款罪来说，行为人最主要的过错是违反金融准入监管，并没有直接骗取财物。单个借款合同一般是对当事人真实借贷意思的表示。一般情况下，除非存在其他法定无效事由外，应当认定合同有效。既尊重民事主体意思自治，又为之后担保等从权利的实现打下了基础。</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区分出借人的主观状态。这是平衡金融秩序保护和个体权利保障的关键。如果出借人知道集资人从事非法集资活动，或者因为重大过失而不了解，比如面对明显的不合常理的高息承诺和公开宣传时不加审慎，则其行为在一定程度上支持非法金融活动。此时根据禁止恶意抗辩的原则以及维护金融监管规范的目的，可以认定合同因违反公序良俗或者当事人恶意串通损害社会公共利益而无效。相反，如果出借人是善意的，对于非法集资的事实并不知情，并且没有重大过失，则应当保护出借人的信赖利益，一般认定合同有效。</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关联效力认定对从权利的辐射影响。合同效力的认定不是孤立的逻辑游戏，它直接决定着担保等从权利的命运。如果机械地采用合同无效说，则会导致所有的担保合同都无效，使审慎设置了抵押权的出借人和没有设置任何担保的出借人在受偿地位上是一样的，这既违反了物权法关于担保物权优先效力的基本原则，又变相惩罚了风险防范意识较强的人，实际上是有悖于公平的。用区分论，在认定主合同有效或者可以撤销的前提下，担保合同的效力得到维持，担保权人有权依照法律规定行使优先受偿权。这就要求在涉案财物处置机制中，必须正视并妥善处理合法民事权利所具有的优先受偿权同刑事追赃发还中的“比例平等”原则的冲突，而不是用简单的否定合同效力来回避矛盾。</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420"/>
        <w:jc w:val="both"/>
        <w:textAlignment w:val="auto"/>
        <w:outlineLvl w:val="2"/>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kern w:val="2"/>
          <w:sz w:val="32"/>
          <w:szCs w:val="32"/>
          <w:lang w:val="en-GB"/>
        </w:rPr>
        <w:t>2</w:t>
      </w:r>
      <w:r>
        <w:rPr>
          <w:rFonts w:hint="eastAsia" w:ascii="Times New Roman" w:hAnsi="Times New Roman" w:eastAsia="仿宋_GB2312" w:cs="Times New Roman"/>
          <w:b w:val="0"/>
          <w:bCs w:val="0"/>
          <w:kern w:val="2"/>
          <w:sz w:val="32"/>
          <w:szCs w:val="32"/>
          <w:lang w:val="en-US" w:eastAsia="zh-CN"/>
        </w:rPr>
        <w:t>.</w:t>
      </w:r>
      <w:r>
        <w:rPr>
          <w:rFonts w:hint="default" w:ascii="Times New Roman" w:hAnsi="Times New Roman" w:eastAsia="仿宋_GB2312" w:cs="Times New Roman"/>
          <w:b w:val="0"/>
          <w:bCs w:val="0"/>
          <w:kern w:val="2"/>
          <w:sz w:val="32"/>
          <w:szCs w:val="32"/>
          <w:lang w:val="en-GB"/>
        </w:rPr>
        <w:t>担保物权的优先受偿权困境</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非法集资刑民交叉案件中，涉案财物上设定的担保物权能否实现优先受偿，是检验刑民价值冲突和法律规则协调性的一把试金石。最高人民法院复核的“杜益敏集资诈骗案”和“张文成非法吸收公众存款案”这两份判决，在事实非常接近的情形之下，却对抵押权人的优先受偿权</w:t>
      </w:r>
      <w:r>
        <w:rPr>
          <w:rFonts w:hint="eastAsia" w:eastAsia="仿宋_GB2312" w:cs="Times New Roman"/>
          <w:sz w:val="32"/>
          <w:szCs w:val="32"/>
          <w:lang w:eastAsia="zh-CN"/>
        </w:rPr>
        <w:t>作</w:t>
      </w:r>
      <w:r>
        <w:rPr>
          <w:rFonts w:hint="default" w:ascii="Times New Roman" w:hAnsi="Times New Roman" w:eastAsia="仿宋_GB2312" w:cs="Times New Roman"/>
          <w:sz w:val="32"/>
          <w:szCs w:val="32"/>
        </w:rPr>
        <w:t>出了完全不同的认定，清楚地表现出了目前司法实践中对于这类问题的处理标准混乱、价值摇摆的状况，也集中反映了担保物权制度在刑事追赃语境下的严峻困境。</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杜益敏案”与“张文成案”的裁判分歧及原因，在“杜益敏案”中，被告人杜益敏用集资诈骗所得的资金购买房产之后，又把房产以高利贷的形式抵押给债权人卢某，借1400万元偿还其他的集资参与者本息。卢某办理了抵押登记并取得了他项权证。案发以后，卢某认为其抵押权是善意取得的，应该享有优先受偿权。但是法院最后裁定驳回了卢某的请求，认为其中1400万元借款是用诈骗款购买的房产，应当作为退赃处理。退赃应当是平均退赃，该笔款项也不能从犯罪所得中扣除。最高人民法院的法官在对该案进行评析的时候，明确地提出它的重大考量就是从“多元价值的平衡”来考虑，即追求法律效果和社会效果的统一，从而促进社会和谐。此处的社会效果，实际上就是优先保障大量的普通集资参与者按照比例平等地得到返还，为此不惜牺牲个别抵押权人的法定优先权。相反，在张文成案中，张文成用非法吸收的公众资金购买房产，又把该房产作价抵押给某国有商业银行，向该银行借款500万元用来开发电站。银行办理了抵押登记。案发以后，法院认为该笔银行借款不能计入非法集资数额，银行在经过先行的民事诉讼之后取得优先受偿权。两案的核心事实结构基本相同，都是“集资款→购置房产→设立抵押”的牵连型刑民交叉。但是裁判结果却是南辕北辙。</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这种分歧的产生，并不是由于对法律规则本身的理解不同，而是因为司法政策权衡时对于“社会效果”有不同的考虑。在杜益敏案中，抵押权人卢某为个人，其优先受偿会导致可用用于平均退赃的财产减少，可能会引起其他众多集资参与人不满，产生“维稳”压力。在“张文成案”里，抵押权人为国有商业银行，其资产实力、风险承受能力都比个人强得多，而且银行债权的实现关系到金融稳定，因此它的社会影响分值会被赋予不同的评价。同案不同判的现象，暴露出目前司法实践中存在着一个危险的倾向，即用模糊、弹性地认定为“社会效果优先”或者“利益平衡”的原则来取代清楚、刚性地适用物权法规定的物权法律规则。当担保物权的优先效力可以因为债权人的身份或者案件的社会压力大小而被任意否定的时候，物权法定原则和担保制度的公信力就会受到严重的损害。</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以保障大多数人的利益、维护社会稳定”为由否定善意抵押权人的优先受偿权，其逻辑虽然有功利主义的合理之处，但是经不起法理上的推敲，也会产生严重的负面作用。首先，这违背了物权法的基本原则。担保物权，特别是经过登记的抵押权，其最主要的作用就是优先受偿权。这是保证交易安全、促进资本融通的基础。如果因为标的物来源存在刑事违法所得而否定其上设立的担保物权的效力，那么就会使得任何一个与涉嫌犯罪主体进行交易的市场主体都面临权利不确定的巨大风险，严重破坏市场经济的信用基础。另外是与责任自负的法治原则相悖的。非法集资犯罪造成的损害结果应当由犯罪人承担，用刑事追缴、责令退赔的方式予以赔偿。把犯罪人无力全额退赔的风险，转移到善意并尽到审慎注意义务（办理抵押登记等）的抵押权人身上，实质上就是让无过错的民事主体替犯罪行为“买单”，有失公平。最后就形成了一种“劣币驱逐良币”的逆向激励。如果设定担保的审慎出借人和未设担保的普通出借人在受偿地位上没有区别，甚至会因为“优先受偿”而被当作众矢之的，那么理性人就不会再为交易设置担保，或者会对设置担保持更谨慎、更消极的态度，从而放任信息不对称下投机行为的发生，不能从根本上防止非法集资风险。</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牵连型交叉中应该严格适用善意取得规则，“杜益敏案”所体现出来的“法律事实牵连型”刑民交叉，处置原则要回到法律规则本身，核心就是严格适用民法上善意取得制度来审查担保物权的有效性。</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刑事追赃程序要尊重并保护基于善意取得而产生的民事优先权。其法理在于：第一，在牵连型交叉里，设立抵押的借贷关系和非法集资犯罪本身都是相互独立的民事法律事实，应当适用“刑民并行”的原则分别评价。第二，善意取得制度是民法为了保护动态交易的安全性、维护登记的公信力而设定的主要规则，其价值同样应在刑民交叉领域得到体现。第三，否定善意抵押权，会使刑事追赃权被不当扩大，侵犯合法的民事交易关系。</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因此，抵押权人优先受偿权的否定，在一般情况下是不可能的，只有当有充分证据证明抵押权人在设立抵押权的时候“明知”抵押物是用赃款赃物购买的。此处的“明知”需要确凿的证据来证明，不能仅仅因为抵押物是案发之后追查发现来自于集资款而加以推定。如果不能证明有明知的恶意，则抵押权应受到保护，抵押物变现所得价款应当优先用于偿还该抵押权所担保的债务，清偿后剩余部分进入非法集资案件的财产池统一分配。</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420"/>
        <w:jc w:val="both"/>
        <w:textAlignment w:val="auto"/>
        <w:outlineLvl w:val="2"/>
        <w:rPr>
          <w:rFonts w:hint="default" w:ascii="Times New Roman" w:hAnsi="Times New Roman" w:eastAsia="仿宋_GB2312" w:cs="Times New Roman"/>
          <w:b w:val="0"/>
          <w:bCs w:val="0"/>
          <w:kern w:val="2"/>
          <w:sz w:val="32"/>
          <w:szCs w:val="32"/>
          <w:lang w:val="en-GB"/>
        </w:rPr>
      </w:pPr>
      <w:r>
        <w:rPr>
          <w:rFonts w:hint="default" w:ascii="Times New Roman" w:hAnsi="Times New Roman" w:eastAsia="仿宋_GB2312" w:cs="Times New Roman"/>
          <w:b w:val="0"/>
          <w:bCs w:val="0"/>
          <w:kern w:val="2"/>
          <w:sz w:val="32"/>
          <w:szCs w:val="32"/>
          <w:lang w:val="en-GB"/>
        </w:rPr>
        <w:t>3</w:t>
      </w:r>
      <w:r>
        <w:rPr>
          <w:rFonts w:hint="eastAsia" w:ascii="Times New Roman" w:hAnsi="Times New Roman" w:eastAsia="仿宋_GB2312" w:cs="Times New Roman"/>
          <w:b w:val="0"/>
          <w:bCs w:val="0"/>
          <w:kern w:val="2"/>
          <w:sz w:val="32"/>
          <w:szCs w:val="32"/>
          <w:lang w:val="en-US" w:eastAsia="zh-CN"/>
        </w:rPr>
        <w:t>.</w:t>
      </w:r>
      <w:r>
        <w:rPr>
          <w:rFonts w:hint="default" w:ascii="Times New Roman" w:hAnsi="Times New Roman" w:eastAsia="仿宋_GB2312" w:cs="Times New Roman"/>
          <w:b w:val="0"/>
          <w:bCs w:val="0"/>
          <w:kern w:val="2"/>
          <w:sz w:val="32"/>
          <w:szCs w:val="32"/>
          <w:lang w:val="en-GB"/>
        </w:rPr>
        <w:t>案外第三人权利的保护边界</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非法集资刑民交叉案件中，除了集资参与人和担保物权人之外，还存在着一个重要的案外第三人，其权利边界常常因为刑事追缴的扩大性而变得模糊不清。第三种情况是基于婚姻关系主张权利的配偶、基于公司法人和股东财产分离原则主张权利的公司其他股东或者债权人。刑事追缴实践给夫妻共同财产、公司法人独立财产等民商事基本法律原则带来的冲击，体现出了在牵连型交叉案件里，建立一个以民事确权规则为前置筛选程序的必要性，即明确刑事追缴的合理界限，防止公权力滥用来侵犯私法秩序的基础。</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对于夫妻共同财产制度的冲击需要规范。司法实践中，集资人被定罪之后，名下的房产、存款等财产一般会被一并查封、扣押，并入追缴范围。但是根据</w:t>
      </w:r>
      <w:r>
        <w:rPr>
          <w:rFonts w:hint="default" w:ascii="Times New Roman" w:hAnsi="Times New Roman" w:eastAsia="仿宋_GB2312" w:cs="Times New Roman"/>
          <w:sz w:val="32"/>
          <w:szCs w:val="32"/>
          <w:lang w:eastAsia="zh-CN"/>
        </w:rPr>
        <w:t>《中华人民共和国民法典》</w:t>
      </w:r>
      <w:r>
        <w:rPr>
          <w:rFonts w:hint="default" w:ascii="Times New Roman" w:hAnsi="Times New Roman" w:eastAsia="仿宋_GB2312" w:cs="Times New Roman"/>
          <w:sz w:val="32"/>
          <w:szCs w:val="32"/>
        </w:rPr>
        <w:t>关于夫妻共同财产的规定，婚姻关系存续期间取得的财产，除了法定个人财产以外，一般认定为夫妻共同所有。如果集资人配偶不是犯罪参与人，也没有从中直接获利的，则其对共同财产所占的份额属于合法的财产权利。目前一些实践做法，只因为财产登记在集资人的名字下或者来源于他的账户，就不管不顾地采取“一刀切”的方式，以刑事追缴为名，不经民事析产程序就剥夺了案外配偶的合法财产份额。这样既不符合</w:t>
      </w:r>
      <w:r>
        <w:rPr>
          <w:rFonts w:hint="default" w:ascii="Times New Roman" w:hAnsi="Times New Roman" w:eastAsia="仿宋_GB2312" w:cs="Times New Roman"/>
          <w:sz w:val="32"/>
          <w:szCs w:val="32"/>
          <w:lang w:eastAsia="zh-CN"/>
        </w:rPr>
        <w:t>《中华人民共和国民法典》</w:t>
      </w:r>
      <w:r>
        <w:rPr>
          <w:rFonts w:hint="default" w:ascii="Times New Roman" w:hAnsi="Times New Roman" w:eastAsia="仿宋_GB2312" w:cs="Times New Roman"/>
          <w:sz w:val="32"/>
          <w:szCs w:val="32"/>
        </w:rPr>
        <w:t>的规定，也不符合责任自负的刑法原则。所以必须确定一条规则，即对登记在集资人名下的且有可能是夫妻共同财产的资产，在刑事司法机关采取追缴措施之前，应当先进行审查或者要求提供证据，判断是否具有配偶的合法份额。如果存在合理的争议，则应当先进行民事确权程序或者至少是独立的司法审查程序，确定各自的份额，只对属于集资人个人所有的或者用于犯罪的部分予以追缴。</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于公司的法人独立财产原则造成的影响更加复杂、危害也更大。非法集资往往是以公司为平台来进行的，使公司的财产和集资款高度混同。实践中侦查机关为了最大限度地追缴挽回损失，一般会对公司的全部财产予以概括查封、冻结，甚至直接接管经营。这样做的后果就是严重地冲击了公司法人财产独立这一现代商事制度的基础。第一，它把股东的个人责任同公司的法人责任混为一谈。公司是独立的法人，以公司的全部资产对内承担债务，对外承担责任。股东的个人犯罪行为，不一定会导致公司的全部资产成为“违法所得”。只有当公司的资产是直接从非法集资款中转化而来的，或者公司本身就是犯罪的工具的时候，才能对特定的财产进行追缴。一概查封，会导致公司的其他无辜股东投资权益、公司正常经营所需资产和公司对内对外应承担的合法债务，如供应商货款、员工工资等，都处于不确定的状态，从而产生连锁债务危机。第二，它忽略了公司的其他债权人合法的利益。公司的资产在清偿顺序上，应该优先保障职工工资、社会保险费用等法定优先权，剩余财产按照全体债权人的共同利益予以分配。如果刑事程序直接将公司的全部财产都用来偿还特定的集资参与人，实际上就给集资参与人赋予了法外的优先权，破坏了破产法下公平清偿的原则。因此必须坚持：对于涉案公司的资产追缴要严格区分公司的法人财产和股东的个人财产，遵守公司法、破产法已有的规定。在权属不明、有其他债权人或者需要持续经营来保持其价值的情况下，应当首先通过司法破产程序或者公司清算程序，在专业的管理人主持下，依法清理债权债务，剔除与犯罪直接相关的资产，并非由刑事司法机关代替进行越俎代庖。</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因此，主张恪守民事确权规则作为刑事追缴的前置筛选程序。这不是否认刑事追缴的权能，而是在于强调刑事追缴的启动要以权属相对明确为前提。具体来说，在实体判断上，刑事追缴的范围认定要充分依据并援引民法典、公司法、企业破产法等民事事实实体法，对财产权属、共有份额、法人独立性、担保物权效力等</w:t>
      </w:r>
      <w:r>
        <w:rPr>
          <w:rFonts w:hint="eastAsia" w:eastAsia="仿宋_GB2312" w:cs="Times New Roman"/>
          <w:sz w:val="32"/>
          <w:szCs w:val="32"/>
          <w:lang w:eastAsia="zh-CN"/>
        </w:rPr>
        <w:t>作</w:t>
      </w:r>
      <w:r>
        <w:rPr>
          <w:rFonts w:hint="default" w:ascii="Times New Roman" w:hAnsi="Times New Roman" w:eastAsia="仿宋_GB2312" w:cs="Times New Roman"/>
          <w:sz w:val="32"/>
          <w:szCs w:val="32"/>
        </w:rPr>
        <w:t>出前置性的判定。不能因为刑事优先或者打击犯罪的需要而忽略这些基础性的民事规定。第二，在程序衔接方面，当涉案财物涉及到案外第三人重大而复杂的民事权益争议的时候，例如夫妻共同财产分割、公司的资产和个人的资产混同、存在多个普通债权人的刑事案件，应当设立中止或者分流节点。裁定对这部分财产停止刑事处理，告知或者引导当事人通过提起民事确权之诉、申请破产清算等方式解决争议，待民事法律关系明确之后，再决定刑事追缴的范围和方式。实质上就是把“权属认定”这个实体问题，交给更加擅长处理平等主体之间财产关系的民事程序来精细地审理，刑事程序只负责已经确认的违法所得的执行和分配。</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目前“重打击、轻保护”的惯性思维，使刑事追缴程序容易滑向结果导向的功利主义，即为了追求集资参与人群体的比例返还这个社会效果，而忽略对案外第三人的合法权利进行正当程序保障。简化处理虽然可以短期内提高处置效率，但是从长远看，会以牺牲婚姻家庭财产的稳定性、公司的公信力和市场交易的可预期性为代价，是对法治原则的一种侵蚀。因此要确定案外第三人权利保护的界限，核心就是加强刑事程序的谦抑性，承认其处理复杂民事财产关系的能力不足，并主动建立刑民程序有序衔接的规则。只有这样，才能在实现刑罚目的的同时，筑起公民合法财产权和市场经济基本秩序的法律防线，实现刑民法律在实践层面上真正的统一与协调。</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仿宋_GB2312" w:cs="Times New Roman"/>
          <w:b/>
          <w:bCs/>
          <w:kern w:val="2"/>
          <w:sz w:val="32"/>
          <w:szCs w:val="32"/>
          <w:lang w:val="en-GB"/>
        </w:rPr>
      </w:pPr>
      <w:r>
        <w:rPr>
          <w:rFonts w:hint="default" w:ascii="Times New Roman" w:hAnsi="Times New Roman" w:eastAsia="仿宋_GB2312" w:cs="Times New Roman"/>
          <w:b/>
          <w:bCs/>
          <w:kern w:val="2"/>
          <w:sz w:val="32"/>
          <w:szCs w:val="32"/>
          <w:lang w:val="en-GB"/>
        </w:rPr>
        <w:t>（三）“同一事实”与“关联事实”的司法甄别标准调整</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司法实践中，对集资人参与的借贷关系是否应该全部纳入非法集资刑事事实，即“同一事实”，常常陷入“全有或者全无”的简单判断中。一种常见的扩张倾向就是，只要借款人为非法集资的犯罪嫌疑人或者被告人，那么其名下的所有借贷合同就都被认定为非法集资的组成部分，从而全部纳入到刑事追赃程序中。该种做法的逻辑依据常常被归纳为“平衡多数集资参与人的利益”，“维护社会稳定”的社会效果考虑上。但是正如“杜益敏案”和“张文成案”的裁判分歧所表明的那样，该类标准十分灵活，受债权人身份、社会舆论压力等多方面因素的影响，从而造成法律适用一致性、可预期性大大降低的情况。本质上就是用司法政策代替法律规则，用结果主义牺牲程序公正，最终造成刑事追缴权的不当扩张，削弱了担保物权、善意取得等民事基本制度。</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调整核心，用资金来源的公开性、对象不特定性作为客观标准。本文认为甄别“同一事实”和“关联事实”的主要标准，必须回到非法集资犯罪的法定构成要件本身，特别是它的社会性特征上。根据最高人民法院关于审理非法集资刑事案件具体应用法律若干问题的解释第一条规定，非法吸收公众存款罪的本质特征就是向不特定的社会公众即社会不特定人吸收资金。所以判断某一具体的借贷事实是否构成非法集资犯罪中的同一事实，应当集中于该笔资金吸收行为本身是否具有公开性和对象不特定性。</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开性指集资人主动用媒体、推介会、传单、网络等方式，或者通过口口相传的方式将募集信息传播到不特定的范围之内，其目的就是向社会公众募集资金。对象不特定性是本质特征，是指吸收资金的对象范围是开放的、不确定的，出资人不是因为和集资人有特定的个人关系如亲友、内部成员、专业的技能或者通过专业途径认识而被限制在某一范围内，主要是由于公开宣传的诱惑才参与其中。</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客观甄别标准应当确定为：单笔借贷资金的吸收来源于集资人面向社会不特定对象的公开募集行为，并且出资人属于该不特定公众群体时，该笔借贷事实同非法集资整体犯罪构成同一事实，应纳入刑事追缴范围。反之，如果资金的吸收是针对特定的对象，如长期合作的商业伙伴、基于个人信任的特定出借人等，而进行的，并没有使用面向不特定公众的公开渠道，那么该借贷关系只和非法集资犯罪在主体或者时间上有关联，但是不是同一事实，应该属于民事法律独立调整的范围。</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辅助原则，即对合理联系的原则做细致的区分。谢勇、陈小杉在《非法集资案件财物处置刑民交叉的规范路径》一文所提出的合理联系原则，给上述客观标准的适用赋予了十分重要的辅助分析工具。本原则认为，判断对象是否属于特定，不应仅仅依据形式上对范围的限定，比亲友、单位内部等来认定，而应当考查该限制标准同集资的目的之间有无合理的、实质性的联系。仅仅因为是同乡、校友等标签而吸收资金，这样的标签与投资风险的判断、信息不对称性之间没有合理的联系，实际上仍然是面向不特定对象。反之，向有长期业务往来、对集资人的经营情况有深入认识的特定供应商借款，其“特定性”来自于充分的信息占有和商业判断，与集资活动之间存在合理的联系，不应轻易归入不特定公众。</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把合理联系原则运用到司法甄别中，可以达到更加细致的区分目的。认定“同一事实”的标准是出资人是否参与集资，主要依据的是公开宣传的利诱，出资人与集资人的关系没有与投资决策相适应的合理联系，即信息优势、信任基础。在界定关联事实的时候，即使出资人知道集资人有其他的集资行为，但是只要该次出资决策主要是基于独立的、具有合理联系的特定关系，真实货物买卖赊销、根据项目评估的定向融资等，并且资金吸收方式不是公开向不特定公众募集资金，则可以认定为关联事实。</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标准重构的规范意义是以此重构的客观标准和合理联系原则为指引，可以清楚地划出处置范围：</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刑事追缴范围，应当限定在符合公开性和对象不特定性的同一事实所对应的所有违法所得及其转化形态之内。对于在该范围内设定的担保物权，也必须严格依照善意取得规则进行审查，只有恶意的情形下才能追缴。</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（2）民事平行审理范围：对被界定为关联事实的借贷合同，其效力应当依照</w:t>
      </w:r>
      <w:r>
        <w:rPr>
          <w:rFonts w:hint="default" w:ascii="Times New Roman" w:hAnsi="Times New Roman" w:eastAsia="仿宋_GB2312" w:cs="Times New Roman"/>
          <w:sz w:val="32"/>
          <w:szCs w:val="32"/>
          <w:lang w:eastAsia="zh-CN"/>
        </w:rPr>
        <w:t>《中华人民共和国民法典》</w:t>
      </w:r>
      <w:r>
        <w:rPr>
          <w:rFonts w:hint="default" w:ascii="Times New Roman" w:hAnsi="Times New Roman" w:eastAsia="仿宋_GB2312" w:cs="Times New Roman"/>
          <w:sz w:val="32"/>
          <w:szCs w:val="32"/>
        </w:rPr>
        <w:t>合同编独立判断，不能因为集资人构成犯罪而当然无效。由此产生的担保物权、普通债权等，应当通过民事诉讼程序进行确权并实现，刑事程序不能对之进行处理。法院对于类似案件，在发现有关非法集资线索的时候，可以依照“刑民并行”原则移送犯罪线索，但是民事审理不中止。</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left"/>
        <w:textAlignment w:val="auto"/>
        <w:outlineLvl w:val="0"/>
        <w:rPr>
          <w:rFonts w:hint="eastAsia" w:ascii="黑体" w:hAnsi="黑体" w:eastAsia="黑体" w:cs="黑体"/>
          <w:b w:val="0"/>
          <w:bCs w:val="0"/>
          <w:kern w:val="44"/>
          <w:sz w:val="32"/>
          <w:szCs w:val="32"/>
          <w:lang w:val="en-GB"/>
        </w:rPr>
      </w:pPr>
      <w:r>
        <w:rPr>
          <w:rFonts w:hint="eastAsia" w:ascii="黑体" w:hAnsi="黑体" w:eastAsia="黑体" w:cs="黑体"/>
          <w:b w:val="0"/>
          <w:bCs w:val="0"/>
          <w:kern w:val="44"/>
          <w:sz w:val="32"/>
          <w:szCs w:val="32"/>
          <w:lang w:val="en-GB"/>
        </w:rPr>
        <w:t>三、分配机制的行政化、碎片化与司法化改造</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仿宋_GB2312" w:cs="Times New Roman"/>
          <w:b/>
          <w:bCs/>
          <w:kern w:val="2"/>
          <w:sz w:val="32"/>
          <w:szCs w:val="32"/>
          <w:lang w:val="en-GB"/>
        </w:rPr>
      </w:pPr>
      <w:r>
        <w:rPr>
          <w:rFonts w:hint="default" w:ascii="Times New Roman" w:hAnsi="Times New Roman" w:eastAsia="仿宋_GB2312" w:cs="Times New Roman"/>
          <w:b/>
          <w:bCs/>
          <w:kern w:val="2"/>
          <w:sz w:val="32"/>
          <w:szCs w:val="32"/>
          <w:lang w:val="en-GB"/>
        </w:rPr>
        <w:t>（一）现行分配模式的弊端</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420"/>
        <w:jc w:val="both"/>
        <w:textAlignment w:val="auto"/>
        <w:outlineLvl w:val="2"/>
        <w:rPr>
          <w:rFonts w:hint="default" w:ascii="Times New Roman" w:hAnsi="Times New Roman" w:eastAsia="仿宋_GB2312" w:cs="Times New Roman"/>
          <w:kern w:val="2"/>
          <w:sz w:val="32"/>
          <w:szCs w:val="32"/>
          <w:lang w:val="en-GB"/>
        </w:rPr>
      </w:pPr>
      <w:r>
        <w:rPr>
          <w:rFonts w:hint="default" w:ascii="Times New Roman" w:hAnsi="Times New Roman" w:eastAsia="仿宋_GB2312" w:cs="Times New Roman"/>
          <w:kern w:val="2"/>
          <w:sz w:val="32"/>
          <w:szCs w:val="32"/>
          <w:lang w:val="en-GB"/>
        </w:rPr>
        <w:t>1</w:t>
      </w:r>
      <w:r>
        <w:rPr>
          <w:rFonts w:hint="default" w:ascii="Times New Roman" w:hAnsi="Times New Roman" w:eastAsia="仿宋_GB2312" w:cs="Times New Roman"/>
          <w:kern w:val="2"/>
          <w:sz w:val="32"/>
          <w:szCs w:val="32"/>
          <w:lang w:val="en-US" w:eastAsia="zh-CN"/>
        </w:rPr>
        <w:t>.</w:t>
      </w:r>
      <w:r>
        <w:rPr>
          <w:rFonts w:hint="default" w:ascii="Times New Roman" w:hAnsi="Times New Roman" w:eastAsia="仿宋_GB2312" w:cs="Times New Roman"/>
          <w:kern w:val="2"/>
          <w:sz w:val="32"/>
          <w:szCs w:val="32"/>
          <w:lang w:val="en-GB"/>
        </w:rPr>
        <w:t>行政处置模式</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于涉及面广、资产关联度大的非法集资案件，在处理中常常形成以行政机关为主的处置方式，典型的有地方政府牵头成立的资产处置专班，或者依靠处置非法集资部际联席会议机制来运转。本模式以行政权的高度集中为特点，目的在于依靠跨部门的协调来达到迅速反应和资源集中，从而对付案件爆发初期社会不稳定的风险。该模式的优势是处置效率高，可以迅速调动公安、金融监管等部门同时行动，及时查控资产，阻止转移隐匿，为之后的追赃挽损争取时间，在维稳初期有现实的必要性。但是该模式在追求效率的同时，存在着严重的结构性缺陷，破坏程序正当性和结果公正性：</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一是程序透明度不够，呈黑箱状态。资产处置的关健环节一般由专案组内部决定，缺少公开机制，容易产生暗箱操作、资产贱卖等问题，败坏公信力。</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二是权利人的参与权实质上缺失。集资参与人和案外第三人不能参加到资产清理、变卖和分配等关键的决策中去，诉求被边缘化，财产权益受到不当处置的风险。</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是重处置轻管理，造成资产价值贬值。专案组缺少专业的资产管理能力和动力，对于经营性资产、易贬值的资产大多采取“一关了之”、“一卖了之”的做法，造成资产在处置过程中大量贬值，最后导致可以清退财产总额减少。</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是对司法程序的处理存在错位，出现“未判先行”的状况。部分案件在刑事判决前就已经完成了资产变现与分配，不符合以生效裁判为依据的原则，冲破审判中心主义，某种程度上削弱了审判机关对于行政机关的监督作用。</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420"/>
        <w:jc w:val="both"/>
        <w:textAlignment w:val="auto"/>
        <w:outlineLvl w:val="2"/>
        <w:rPr>
          <w:rFonts w:hint="default" w:ascii="Times New Roman" w:hAnsi="Times New Roman" w:eastAsia="仿宋_GB2312" w:cs="Times New Roman"/>
          <w:kern w:val="2"/>
          <w:sz w:val="32"/>
          <w:szCs w:val="32"/>
          <w:lang w:val="en-GB"/>
        </w:rPr>
      </w:pPr>
      <w:r>
        <w:rPr>
          <w:rFonts w:hint="default" w:ascii="Times New Roman" w:hAnsi="Times New Roman" w:eastAsia="仿宋_GB2312" w:cs="Times New Roman"/>
          <w:kern w:val="2"/>
          <w:sz w:val="32"/>
          <w:szCs w:val="32"/>
          <w:lang w:val="en-GB"/>
        </w:rPr>
        <w:t>2</w:t>
      </w:r>
      <w:r>
        <w:rPr>
          <w:rFonts w:hint="default" w:ascii="Times New Roman" w:hAnsi="Times New Roman" w:eastAsia="仿宋_GB2312" w:cs="Times New Roman"/>
          <w:kern w:val="2"/>
          <w:sz w:val="32"/>
          <w:szCs w:val="32"/>
          <w:lang w:val="en-US" w:eastAsia="zh-CN"/>
        </w:rPr>
        <w:t>.</w:t>
      </w:r>
      <w:r>
        <w:rPr>
          <w:rFonts w:hint="default" w:ascii="Times New Roman" w:hAnsi="Times New Roman" w:eastAsia="仿宋_GB2312" w:cs="Times New Roman"/>
          <w:kern w:val="2"/>
          <w:sz w:val="32"/>
          <w:szCs w:val="32"/>
          <w:lang w:val="en-GB"/>
        </w:rPr>
        <w:t>司法裁判与执行模式</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非法集资案件里，司法处置模式应当成为涉案财物处理的法定核心途径，本应该依靠公开对抗审判来确定财产归属和处置方法，并予以强制执行。但是目前实践中司法模式的功能被大大限制，甚至加重了处置的困境，主要表现在刑事裁判的概括化和执行环节的虚化。</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方面就是判决表述不具体，没有实质审查、明确的指引。很多判决书中对于财产部分只写成“继续追缴”，“责令退赔”之类的含糊的表述，并没有对查封的财产逐个进行权属审查，也没有确定具体的执行标的和范围。这就避开了审判阶段的审查义务，也使执行失去了依据，造成判而不明、执而无据的局面。</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另外一方面就是执行阶段权责不清、衔接不好、救济薄弱。概括化判决使执行机关在本应由审判阶段完成的实体性权利归属认定上，越权而且缺少专业的能力。此外，诉讼各个阶段财物资料移送不全、程序衔接有断层。案外人提起权属异议时，救济途径不健全，一般由执行机关自己审查，缺少独立的司法审判，权利保障明显不足。</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从整体上看，目前的司法处置方式体现的是“重定罪、轻财产”的诉讼倾向。审判阶段的回避采取的是实质审查的方法，在执行环节权能缺失、救济薄弱的情况下，不但不能发挥司法定分止争的作用，反而因为程序空转、权利虚化而使处置不公，造成司法公信力下降。改革要从推进审判实质化、完善执行救济机制着手，进行全面的重构。</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仿宋_GB2312" w:cs="Times New Roman"/>
          <w:b w:val="0"/>
          <w:bCs w:val="0"/>
          <w:kern w:val="2"/>
          <w:sz w:val="32"/>
          <w:szCs w:val="32"/>
          <w:lang w:val="en-GB"/>
        </w:rPr>
      </w:pPr>
      <w:r>
        <w:rPr>
          <w:rFonts w:hint="default" w:ascii="Times New Roman" w:hAnsi="Times New Roman" w:eastAsia="仿宋_GB2312" w:cs="Times New Roman"/>
          <w:b/>
          <w:bCs/>
          <w:kern w:val="2"/>
          <w:sz w:val="32"/>
          <w:szCs w:val="32"/>
          <w:lang w:val="en-GB"/>
        </w:rPr>
        <w:t>（二）比较法视野：破产程序与独立“对物之诉”的启示</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420"/>
        <w:jc w:val="both"/>
        <w:textAlignment w:val="auto"/>
        <w:outlineLvl w:val="2"/>
        <w:rPr>
          <w:rFonts w:hint="default" w:ascii="Times New Roman" w:hAnsi="Times New Roman" w:eastAsia="仿宋_GB2312" w:cs="Times New Roman"/>
          <w:kern w:val="2"/>
          <w:sz w:val="32"/>
          <w:szCs w:val="32"/>
          <w:lang w:val="en-GB"/>
        </w:rPr>
      </w:pPr>
      <w:r>
        <w:rPr>
          <w:rFonts w:hint="default" w:ascii="Times New Roman" w:hAnsi="Times New Roman" w:eastAsia="仿宋_GB2312" w:cs="Times New Roman"/>
          <w:kern w:val="2"/>
          <w:sz w:val="32"/>
          <w:szCs w:val="32"/>
          <w:lang w:val="en-GB"/>
        </w:rPr>
        <w:t>1</w:t>
      </w:r>
      <w:r>
        <w:rPr>
          <w:rFonts w:hint="default" w:ascii="Times New Roman" w:hAnsi="Times New Roman" w:eastAsia="仿宋_GB2312" w:cs="Times New Roman"/>
          <w:kern w:val="2"/>
          <w:sz w:val="32"/>
          <w:szCs w:val="32"/>
          <w:lang w:val="en-US" w:eastAsia="zh-CN"/>
        </w:rPr>
        <w:t>.</w:t>
      </w:r>
      <w:r>
        <w:rPr>
          <w:rFonts w:hint="default" w:ascii="Times New Roman" w:hAnsi="Times New Roman" w:eastAsia="仿宋_GB2312" w:cs="Times New Roman"/>
          <w:kern w:val="2"/>
          <w:sz w:val="32"/>
          <w:szCs w:val="32"/>
          <w:lang w:val="en-GB"/>
        </w:rPr>
        <w:t>破产程序</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国非法集资涉案财物处置的困境不是孤立存在的。从比较法的角度来考察，其根本就是怎样对由于犯罪行为所导致的、牵涉到各方利益关系人复杂的财产关系进行清理。域外的相关制度设计，尤其是破产清算程序和独立的刑事“对物之诉”程序，给我国提供宝贵的经验和改革思路。它的启示是：非法集资涉案财物的处置，在功能上接近于一种强制性的财产清查和公平分配程序，应该吸收成熟清算制度中程序保障、权利制约等要素，不能简单地套用于解决人身责任为主的刑事审判程序。</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破产法制度的系统性借鉴价值最为明显、最直接也最有意义。非法集资案件发生以后，集资主体不论是企业还是个人一般都已经资不抵债了，他们的财产状况和破产法所规定的债务人财产不能清偿全部债务的状态十分相似。我国《企业破产法》所建立起来完整的制度体系，正好给解决目前处置模式中存在的主要问题提供现成的方案。</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债权人会议制度，破产程序中的债权人会议，给分散的债权人即非法集资案件中的集资参与人以及其他普通债权人提供了一个组织化、程序化的利益表达和集体决策的平台。债权人以会议核对债权、监督管理人、审议财产变卖和分配方案的方式，由原来的被动登记变为现在的主动参与。这就解决了行政处置和司法执行中权利人参与权被虚化的状况。</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管理人中心主义，即由法院指定或者债权人会议选举产生、具有专业知识和资质的破产管理人，接管债务人的财产、全面调查债务人的财产状况、进行日常管理和价值维护、追收债务、制定分配方案。管理人中立性、专业性、责任性的特点，可以很好地克服行政专班专业性不足、资产管理粗放、存在利益冲突等缺点，也弥补了司法机关在经营性资产保值增值方面能力及精力的欠缺。</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撤销权与追回制度，破产法上的撤销权制度给追回被非法转移、不当处置的资产赋予了强有力实体法依据及程序工具。对于打击非法集资案件中出现的突击偿债、虚假交易等逃废债行为，实现追赃挽损的最大化，有很强的针对性和可操作性。</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法定的清偿顺序是破产法所规定的，对破产费用、共益债务、职工债权、税款、普通债权的清偿顺序作出明确规定，给解决非法集资案件中刑事退赔、民事债务、财产刑执行之间矛盾提供清晰、法律化规则，有利于终结目前实践中顺序混乱、同案不同判的局面。</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420"/>
        <w:jc w:val="both"/>
        <w:textAlignment w:val="auto"/>
        <w:outlineLvl w:val="2"/>
        <w:rPr>
          <w:rFonts w:hint="default" w:ascii="Times New Roman" w:hAnsi="Times New Roman" w:eastAsia="仿宋_GB2312" w:cs="Times New Roman"/>
          <w:kern w:val="2"/>
          <w:sz w:val="32"/>
          <w:szCs w:val="32"/>
          <w:lang w:val="en-GB"/>
        </w:rPr>
      </w:pPr>
      <w:r>
        <w:rPr>
          <w:rFonts w:hint="default" w:ascii="Times New Roman" w:hAnsi="Times New Roman" w:eastAsia="仿宋_GB2312" w:cs="Times New Roman"/>
          <w:kern w:val="2"/>
          <w:sz w:val="32"/>
          <w:szCs w:val="32"/>
          <w:lang w:val="en-US" w:eastAsia="zh-CN"/>
        </w:rPr>
        <w:t>2.</w:t>
      </w:r>
      <w:r>
        <w:rPr>
          <w:rFonts w:hint="default" w:ascii="Times New Roman" w:hAnsi="Times New Roman" w:eastAsia="仿宋_GB2312" w:cs="Times New Roman"/>
          <w:kern w:val="2"/>
          <w:sz w:val="32"/>
          <w:szCs w:val="32"/>
          <w:lang w:val="en-GB"/>
        </w:rPr>
        <w:t>独立的“对物之诉”</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独立的“对物之诉”程序给财产处置从定罪程序中适当分离提供了一个模式。我国现行模式把财物处置完全依靠定罪量刑程序，使财产审理被边缘化。比较法上，有将涉案财物处置当作一个独立的程序来处理的成熟做法。</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美国民事没收程序，即程序独立于刑事追诉，只须证明财产与犯罪行为之间有“合理联系”（a substantial connection），而证明标准一般比刑事定罪需要的“排除合理怀疑”要低。其程序具有对抗性，政府为原告，财产持有人（案外第三人）为被告，双方可以就财产是否应当没收进行充分的举证、质证和辩论。这样一种设计把财产问题的诉讼化，保证了利害关系人的程序参与权，在犯罪嫌疑人逃匿、死亡或者案件情况复杂、定罪程序较长的情况下更为适用。</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德国的独立没收和没收参与人制度，德国刑法把没收，包括追缴当作一种独立的刑事制裁措施。在诉讼程序上允许设立独立的没收程序。尤其重要的是，</w:t>
      </w:r>
      <w:r>
        <w:rPr>
          <w:rFonts w:hint="default" w:ascii="Times New Roman" w:hAnsi="Times New Roman" w:eastAsia="仿宋_GB2312" w:cs="Times New Roman"/>
          <w:sz w:val="32"/>
          <w:szCs w:val="32"/>
          <w:lang w:eastAsia="zh-CN"/>
        </w:rPr>
        <w:t>《中华人民共和国刑事诉讼法》</w:t>
      </w:r>
      <w:r>
        <w:rPr>
          <w:rFonts w:hint="default" w:ascii="Times New Roman" w:hAnsi="Times New Roman" w:eastAsia="仿宋_GB2312" w:cs="Times New Roman"/>
          <w:sz w:val="32"/>
          <w:szCs w:val="32"/>
        </w:rPr>
        <w:t>中规定了“没收参与人”的制度，即对于没收标的享有合法权利的第三人，可以作为诉讼参与人参加程序，享有阅卷权、陈述权、举证权等，法院应当对其进行审理并作出裁判。为案外第三人，善意购买人、抵押权人、财产共有人等权利的保护提供强有力的程序保障，有效地防止了刑事追缴对案外人合法权益的误伤。</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目前我国非法集资涉案财物处置的行政化、刑事附带模式，在制度功能上存在着结构性上的缺陷。它没有破产程序所具有的系统性的财产收集、保管、变卖和公平分配的完整的架构，也没有独立的“对物之诉”，即针对财产关系进行审理的专门化、对抗性程序保障。改革之路不在行政和司法两难的选择中</w:t>
      </w:r>
      <w:r>
        <w:rPr>
          <w:rFonts w:hint="eastAsia" w:eastAsia="仿宋_GB2312" w:cs="Times New Roman"/>
          <w:sz w:val="32"/>
          <w:szCs w:val="32"/>
          <w:lang w:eastAsia="zh-CN"/>
        </w:rPr>
        <w:t>作</w:t>
      </w:r>
      <w:r>
        <w:rPr>
          <w:rFonts w:hint="default" w:ascii="Times New Roman" w:hAnsi="Times New Roman" w:eastAsia="仿宋_GB2312" w:cs="Times New Roman"/>
          <w:sz w:val="32"/>
          <w:szCs w:val="32"/>
        </w:rPr>
        <w:t>出非此即彼的选择，而在于对功能主义的制度吸收与创新。</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具体的来讲，即非法集资案件财产处置的任务就是，在犯罪嫌疑人或者被告人的刑事责任已经依法认定的情况下，对他们的财产予以强制性清算并公平清偿。该任务和破产清算的功能十分相似。所以未来制度的建立，应该大胆地吸收破产法中管理人制度、债权人集体决策机制、撤销权制度和法定清偿顺序等主要因素，并将这些要素改造为适合于刑事涉案财物处置场域。同时借鉴独立“对物之诉”的程序理念，在刑事诉讼框架下，建立一个相对独立的、以查明财产权属和处置方案为核心的司法审理程序，保证被告人、被害人、其他案外利害关系人都可以作为程序主体参加、有效对抗，并由法院居中</w:t>
      </w:r>
      <w:r>
        <w:rPr>
          <w:rFonts w:hint="eastAsia" w:eastAsia="仿宋_GB2312" w:cs="Times New Roman"/>
          <w:sz w:val="32"/>
          <w:szCs w:val="32"/>
          <w:lang w:eastAsia="zh-CN"/>
        </w:rPr>
        <w:t>作</w:t>
      </w:r>
      <w:r>
        <w:rPr>
          <w:rFonts w:hint="default" w:ascii="Times New Roman" w:hAnsi="Times New Roman" w:eastAsia="仿宋_GB2312" w:cs="Times New Roman"/>
          <w:sz w:val="32"/>
          <w:szCs w:val="32"/>
        </w:rPr>
        <w:t>出权属清楚、处置明确的裁判。只有这样，才能达到处置效率、权利保障和程序正义三者之间的和谐统一。</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3" w:firstLineChars="200"/>
        <w:jc w:val="both"/>
        <w:textAlignment w:val="auto"/>
        <w:outlineLvl w:val="1"/>
        <w:rPr>
          <w:rFonts w:hint="default" w:ascii="Times New Roman" w:hAnsi="Times New Roman" w:eastAsia="仿宋_GB2312" w:cs="Times New Roman"/>
          <w:b/>
          <w:bCs/>
          <w:kern w:val="2"/>
          <w:sz w:val="32"/>
          <w:szCs w:val="32"/>
          <w:lang w:val="en-GB"/>
        </w:rPr>
      </w:pPr>
      <w:r>
        <w:rPr>
          <w:rFonts w:hint="default" w:ascii="Times New Roman" w:hAnsi="Times New Roman" w:eastAsia="仿宋_GB2312" w:cs="Times New Roman"/>
          <w:b/>
          <w:bCs/>
          <w:kern w:val="2"/>
          <w:sz w:val="32"/>
          <w:szCs w:val="32"/>
          <w:lang w:val="en-GB"/>
        </w:rPr>
        <w:t xml:space="preserve">（三）建立“司法主导、专业辅助、权利人参与”的分配程序机制 </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420"/>
        <w:jc w:val="both"/>
        <w:textAlignment w:val="auto"/>
        <w:outlineLvl w:val="2"/>
        <w:rPr>
          <w:rFonts w:hint="default" w:ascii="Times New Roman" w:hAnsi="Times New Roman" w:eastAsia="仿宋_GB2312" w:cs="Times New Roman"/>
          <w:kern w:val="2"/>
          <w:sz w:val="32"/>
          <w:szCs w:val="32"/>
          <w:lang w:val="en-GB"/>
        </w:rPr>
      </w:pPr>
      <w:r>
        <w:rPr>
          <w:rFonts w:hint="default" w:ascii="Times New Roman" w:hAnsi="Times New Roman" w:eastAsia="仿宋_GB2312" w:cs="Times New Roman"/>
          <w:kern w:val="2"/>
          <w:sz w:val="32"/>
          <w:szCs w:val="32"/>
          <w:lang w:val="en-GB"/>
        </w:rPr>
        <w:t>1</w:t>
      </w:r>
      <w:r>
        <w:rPr>
          <w:rFonts w:hint="default" w:ascii="Times New Roman" w:hAnsi="Times New Roman" w:eastAsia="仿宋_GB2312" w:cs="Times New Roman"/>
          <w:kern w:val="2"/>
          <w:sz w:val="32"/>
          <w:szCs w:val="32"/>
          <w:lang w:val="en-US" w:eastAsia="zh-CN"/>
        </w:rPr>
        <w:t>.</w:t>
      </w:r>
      <w:r>
        <w:rPr>
          <w:rFonts w:hint="default" w:ascii="Times New Roman" w:hAnsi="Times New Roman" w:eastAsia="仿宋_GB2312" w:cs="Times New Roman"/>
          <w:kern w:val="2"/>
          <w:sz w:val="32"/>
          <w:szCs w:val="32"/>
          <w:lang w:val="en-GB"/>
        </w:rPr>
        <w:t>程序启动与主体</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程序的启动要体现出司法权的终局性、权威性，又要有专业的管理能力。建议在非法集资案件立案以后，由受理该案的人民法院作为程序的发起者和主控机关。启动方式既可以由法院依职权作出决定，也可以由检察机关、被告人、已登记的集资参与人代表或者利害关系人申请，经法院审查后裁定启动。</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程序开始时，法院应该立即委托成立一个中立的司法管理人团队，作为处置程序的核心执行机构。该管理人的法律地位及职责可以参照《企业破产法》中关于管理人的规定来设计，但是它产生的监督以及被监督关系更紧密地属于刑事司法程序。管理人的组成要打破行政机关的绝对主导地位，改由法院从具备资质的律师事务所、会计师事务所、破产清算事务所等专业机构中选任，也可以邀请原防范和处置非法集资工作领导小组中的金融、审计等专业人员加入到管理人队伍当中。其目的在于保证管理人具有财产调查、资产管理、财务审计、法律判断等多种专业知识，并以“法院受托人”身份保持中立性，代表法院行使职权并接受监督，取代原来的专案组，实现处置主体司法化和专业化转型。</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420"/>
        <w:jc w:val="both"/>
        <w:textAlignment w:val="auto"/>
        <w:outlineLvl w:val="2"/>
        <w:rPr>
          <w:rFonts w:hint="default" w:ascii="Times New Roman" w:hAnsi="Times New Roman" w:eastAsia="仿宋_GB2312" w:cs="Times New Roman"/>
          <w:kern w:val="2"/>
          <w:sz w:val="32"/>
          <w:szCs w:val="32"/>
          <w:lang w:val="en-GB"/>
        </w:rPr>
      </w:pPr>
      <w:r>
        <w:rPr>
          <w:rFonts w:hint="default" w:ascii="Times New Roman" w:hAnsi="Times New Roman" w:eastAsia="仿宋_GB2312" w:cs="Times New Roman"/>
          <w:kern w:val="2"/>
          <w:sz w:val="32"/>
          <w:szCs w:val="32"/>
          <w:lang w:val="en-US" w:eastAsia="zh-CN"/>
        </w:rPr>
        <w:t>2.</w:t>
      </w:r>
      <w:r>
        <w:rPr>
          <w:rFonts w:hint="default" w:ascii="Times New Roman" w:hAnsi="Times New Roman" w:eastAsia="仿宋_GB2312" w:cs="Times New Roman"/>
          <w:kern w:val="2"/>
          <w:sz w:val="32"/>
          <w:szCs w:val="32"/>
          <w:lang w:val="en-GB"/>
        </w:rPr>
        <w:t>核心程序构建</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一公告和债权申报登记。由法院利用统一、权威的司法信息平台，法院诉讼服务网、全国企业破产重整案件信息网等，发布债权申报的公告，确定含集资款的债权申报的期限、方式、所需材料以及法律后果。从而改变目前各地公告渠道分散、效力不清的情况，保证信息送达的广泛性和规范性。申报期限要合理设置，既考虑效率又保护权利人的权益，逾期申报者的实体权利不会丧失，但是参加后续分配程序的权利会受到影响，以此来敦促权利人及时行使权利，为后续程序提供事实依据。</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权属调查与司法听证。司法管理人接管涉案财产之后，包括已经查封、扣押、冻结和发现的新财产等，要对全部财产进行调查清理。其主要任务就是鉴别财产权属，即区分违法所得、被告人的合法财产、案外人财产和混合财产。对权属有争议的财产进行管理人召集司法听证会，包括被告人配偶主张共有房产、案外公司主张独立占有。听证会由法官主持，公诉机关、被告人及其辩护人、财产主张人一起参加，围绕财产的来源、流转凭证、法律关系等问题展开举证、质证、辩论。法官在听证的基础上，可以对特定财产的权利归属</w:t>
      </w:r>
      <w:r>
        <w:rPr>
          <w:rFonts w:hint="eastAsia" w:eastAsia="仿宋_GB2312" w:cs="Times New Roman"/>
          <w:sz w:val="32"/>
          <w:szCs w:val="32"/>
          <w:lang w:eastAsia="zh-CN"/>
        </w:rPr>
        <w:t>作</w:t>
      </w:r>
      <w:r>
        <w:rPr>
          <w:rFonts w:hint="default" w:ascii="Times New Roman" w:hAnsi="Times New Roman" w:eastAsia="仿宋_GB2312" w:cs="Times New Roman"/>
          <w:sz w:val="32"/>
          <w:szCs w:val="32"/>
        </w:rPr>
        <w:t>出中间裁判。本环节把目前执行阶段混乱的权属审查难题，前移到一个公开、对抗、中立的司法程序里去解决，即从事后纠正变为事先确认。</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财产的专业化管理与市场化变价。管理人不仅要对财产进行保管，还要有保值增殖的主动权。对有持续经营价值并且不违反法律禁止性规定的企业的股权、项目资产等，在法院的监督下可以由管理人进行托管或者委托经营，防止因一关了之而造成资产价值灭失。对于需要变价的财产，管理人应当制定变价方案，采用司法拍卖网络平台等公开、市场化的方式进行处置，保证价值最大，全过程接受监督。彻底改变的是重处置、轻管理的顽疾。</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分配方案的制定、审议与司法确认。财产变卖所得款项，由管理人按照经确认的债权清单以及财产总额，拟定出财产分配方案。该方案的核心就是确定一个清楚、法定的清偿顺序，可以这样来定：（1）支付处置程序的必要费用，即管理人报酬、公告费、评估拍卖费等；（2）按照比例返还集资参与人的本金损失；（3）优先清偿已经依法办理了合法登记的抵押权人所享有的优先受偿权；（4）剩余财产按比例清偿其他普通民事债务、执行财产刑、上缴国库。分配方案应当提交给依法产生债权人会议的全体集资参与者进行审议、表决。经过表决通过的方案，最后由法院进行审查并作出裁定予以确认；未被通过的，法院可以依职权在审查后裁定批准合理的方案。该流程结合了债权人自治和司法审查，保证分配的公正性和合法性。</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420"/>
        <w:jc w:val="both"/>
        <w:textAlignment w:val="auto"/>
        <w:outlineLvl w:val="2"/>
        <w:rPr>
          <w:rFonts w:hint="default" w:ascii="Times New Roman" w:hAnsi="Times New Roman" w:eastAsia="仿宋_GB2312" w:cs="Times New Roman"/>
          <w:kern w:val="2"/>
          <w:sz w:val="32"/>
          <w:szCs w:val="32"/>
          <w:lang w:val="en-GB"/>
        </w:rPr>
      </w:pPr>
      <w:r>
        <w:rPr>
          <w:rFonts w:hint="default" w:ascii="Times New Roman" w:hAnsi="Times New Roman" w:eastAsia="仿宋_GB2312" w:cs="Times New Roman"/>
          <w:kern w:val="2"/>
          <w:sz w:val="32"/>
          <w:szCs w:val="32"/>
          <w:lang w:val="en-GB"/>
        </w:rPr>
        <w:t>3</w:t>
      </w:r>
      <w:r>
        <w:rPr>
          <w:rFonts w:hint="default" w:ascii="Times New Roman" w:hAnsi="Times New Roman" w:eastAsia="仿宋_GB2312" w:cs="Times New Roman"/>
          <w:kern w:val="2"/>
          <w:sz w:val="32"/>
          <w:szCs w:val="32"/>
          <w:lang w:val="en-US" w:eastAsia="zh-CN"/>
        </w:rPr>
        <w:t>.</w:t>
      </w:r>
      <w:r>
        <w:rPr>
          <w:rFonts w:hint="default" w:ascii="Times New Roman" w:hAnsi="Times New Roman" w:eastAsia="仿宋_GB2312" w:cs="Times New Roman"/>
          <w:kern w:val="2"/>
          <w:sz w:val="32"/>
          <w:szCs w:val="32"/>
          <w:lang w:val="en-GB"/>
        </w:rPr>
        <w:t>救济途径</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没有救济就没有权利。为了保证程序公正，必须给有关的权利人提供救济的权利。对于法官在权属调查阶段作出的财产权属中间裁决，以及法院最后</w:t>
      </w:r>
      <w:r>
        <w:rPr>
          <w:rFonts w:hint="eastAsia" w:eastAsia="仿宋_GB2312" w:cs="Times New Roman"/>
          <w:sz w:val="32"/>
          <w:szCs w:val="32"/>
          <w:lang w:eastAsia="zh-CN"/>
        </w:rPr>
        <w:t>作</w:t>
      </w:r>
      <w:r>
        <w:rPr>
          <w:rFonts w:hint="default" w:ascii="Times New Roman" w:hAnsi="Times New Roman" w:eastAsia="仿宋_GB2312" w:cs="Times New Roman"/>
          <w:sz w:val="32"/>
          <w:szCs w:val="32"/>
        </w:rPr>
        <w:t>出的财产分配方案确认裁定，应当允许直接利害关系人，即被裁定财产不予返还的案外人、对分配顺序或者比例有异议的债权人在规定的期限内向上一级人民法院提出上诉或者申请复议。设立审级救济，形成有效的权力监督、权利制约，防止司法裁量权被滥用，保证独立的处置程序在追求效率的同时不违背实现实体公正这个最终的目的。</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总的来说，该构建方案以司法主导、专业管理、程序对抗、权利自治为复合型制度设计，把非法集资涉案财物处置从目前的行政化的模糊处理和司法化的形式审理中分离出来，塑造成一个具有破产清算系统性和刑事诉讼程序正当性的独立司法程序。它既是技术环节的修补，又是对涉案财物处置之法律性质的重新认识和程序功能的根本性改造。</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left"/>
        <w:textAlignment w:val="auto"/>
        <w:outlineLvl w:val="0"/>
        <w:rPr>
          <w:rFonts w:hint="eastAsia" w:ascii="黑体" w:hAnsi="黑体" w:eastAsia="黑体" w:cs="黑体"/>
          <w:b w:val="0"/>
          <w:bCs w:val="0"/>
          <w:sz w:val="32"/>
          <w:szCs w:val="32"/>
        </w:rPr>
      </w:pPr>
      <w:r>
        <w:rPr>
          <w:rFonts w:hint="eastAsia" w:ascii="黑体" w:hAnsi="黑体" w:eastAsia="黑体" w:cs="黑体"/>
          <w:b w:val="0"/>
          <w:bCs w:val="0"/>
          <w:kern w:val="44"/>
          <w:sz w:val="32"/>
          <w:szCs w:val="32"/>
          <w:lang w:val="en-GB"/>
        </w:rPr>
        <w:t>四、结论与展望</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非法集资涉案财物处置的出路，并不是把行政权和司法权简单地划分为“二选一”，而是要进行一次深刻的程序功能再造。这就需要在实体上，要抛弃“重刑轻民”的传统观念，准确地划分出刑事追诉和民事清偿的不同的法律关系。处置活动要充分考虑民事权利规则，慎重划分出“同一事实”的界限，依法保障善意第三人的权益和合法民事债权，保证刑事追缴的正当性以坚实的私法为基础。程序上要建立一个司法化、专业化、权利人可以实质性参与的独立处置程序。该程序实质上就是一种准破产清算程序或者刑事独立对物之诉程序，在法院主导下由专业管理人执行，在利害关系人听证、债权人会议审议等环节中进行系统性的财产确权、保值、变价和公平分配。只有这样，才能冲破目前“维稳式”处置或者“空转式”裁判所存在的局限，实现打击犯罪、保护合法产权、维护市场交易安全稳定这三者有机统一，使司法裁判的法律效果和社会效果趋于一致。</w:t>
      </w:r>
    </w:p>
    <w:p>
      <w:pPr>
        <w:keepNext w:val="0"/>
        <w:keepLines w:val="0"/>
        <w:pageBreakBefore w:val="0"/>
        <w:widowControl w:val="0"/>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从处置机制的宏观框架和核心理念入手，对诸多具体的操作细节，比如司法管理人具体选任、考核、监督细则，同现行</w:t>
      </w:r>
      <w:r>
        <w:rPr>
          <w:rFonts w:hint="default" w:ascii="Times New Roman" w:hAnsi="Times New Roman" w:eastAsia="仿宋_GB2312" w:cs="Times New Roman"/>
          <w:sz w:val="32"/>
          <w:szCs w:val="32"/>
          <w:lang w:eastAsia="zh-CN"/>
        </w:rPr>
        <w:t>《中华人民共和国刑事诉讼法》</w:t>
      </w:r>
      <w:r>
        <w:rPr>
          <w:rFonts w:hint="default" w:ascii="Times New Roman" w:hAnsi="Times New Roman" w:eastAsia="仿宋_GB2312" w:cs="Times New Roman"/>
          <w:sz w:val="32"/>
          <w:szCs w:val="32"/>
        </w:rPr>
        <w:t>中侦查、起诉、审判各环节怎样实现程序性衔接和证据材料流转，以及跨省、跨市特大非法集资案件怎样形成有效的跨区域司法协调和财产统一分配机制等实践问题，还没有做详细的分析，还需要以后根据更多的实证案例来细致的研究。未来的我国涉案财物处置制度法治化要依靠立法的突破。在将来对</w:t>
      </w:r>
      <w:r>
        <w:rPr>
          <w:rFonts w:hint="default" w:ascii="Times New Roman" w:hAnsi="Times New Roman" w:eastAsia="仿宋_GB2312" w:cs="Times New Roman"/>
          <w:sz w:val="32"/>
          <w:szCs w:val="32"/>
          <w:lang w:eastAsia="zh-CN"/>
        </w:rPr>
        <w:t>《中华人民共和国刑事诉讼法》</w:t>
      </w:r>
      <w:r>
        <w:rPr>
          <w:rFonts w:hint="default" w:ascii="Times New Roman" w:hAnsi="Times New Roman" w:eastAsia="仿宋_GB2312" w:cs="Times New Roman"/>
          <w:sz w:val="32"/>
          <w:szCs w:val="32"/>
        </w:rPr>
        <w:t>进行修改的时候，可以考虑增加一个关于涉众型经济犯罪涉案财物特别程序的专章，把上述独立处置程序的主要内容用法律的形式确定下来，规定其启动条件、主体权责、审理流程、救济途径以及与其他普通刑事诉讼程序的关系。同时需要配合推进相关的民事执行制度和破产法理的协同调整，给该特别程序的运作给予全方位的实体法、程序法支持。依靠立法引导和司法实践双向互动，才能为中国式难题——非法集资涉案财物处置，找到稳定的、公平的并且可以预期的制度化解决办法。</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AB79D4"/>
    <w:rsid w:val="38AB7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2026-09-21T09:09:00Z</dcterms:created>
  <dc:creator>Administrator</dc:creator>
  <cp:lastModifiedBy>Administrator</cp:lastModifiedBy>
  <dcterms:modified xsi:type="dcterms:W3CDTF">2026-09-21T09:12:44Z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B8D509B75F4149F8BDA355C5D25F1EE1</vt:lpwstr>
  </property>
</Properties>
</file>