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8"/>
        <w:keepNext w:val="0"/>
        <w:keepLines w:val="0"/>
        <w:pageBreakBefore w:val="0"/>
        <w:widowControl/>
        <w:kinsoku/>
        <w:wordWrap/>
        <w:overflowPunct/>
        <w:topLinePunct w:val="0"/>
        <w:autoSpaceDE/>
        <w:autoSpaceDN/>
        <w:bidi w:val="0"/>
        <w:adjustRightInd/>
        <w:snapToGrid/>
        <w:jc w:val="center"/>
        <w:rPr>
          <w:rFonts w:hint="eastAsia" w:ascii="黑体" w:hAnsi="黑体" w:eastAsia="黑体" w:cs="黑体"/>
          <w:sz w:val="44"/>
          <w:szCs w:val="44"/>
        </w:rPr>
      </w:pPr>
      <w:bookmarkStart w:id="1" w:name="_GoBack"/>
      <w:r>
        <w:rPr>
          <w:rFonts w:hint="eastAsia" w:ascii="黑体" w:hAnsi="黑体" w:eastAsia="黑体" w:cs="黑体"/>
          <w:sz w:val="44"/>
          <w:szCs w:val="44"/>
          <w:lang w:val="en-US" w:eastAsia="zh-CN"/>
        </w:rPr>
        <w:t>粤港澳</w:t>
      </w:r>
      <w:r>
        <w:rPr>
          <w:rFonts w:hint="eastAsia" w:ascii="黑体" w:hAnsi="黑体" w:eastAsia="黑体" w:cs="黑体"/>
          <w:sz w:val="44"/>
          <w:szCs w:val="44"/>
        </w:rPr>
        <w:t>大湾区民事公益诉讼协作机制研究</w:t>
      </w:r>
    </w:p>
    <w:bookmarkEnd w:id="1"/>
    <w:p>
      <w:pPr>
        <w:keepNext w:val="0"/>
        <w:keepLines w:val="0"/>
        <w:pageBreakBefore w:val="0"/>
        <w:widowControl/>
        <w:kinsoku/>
        <w:wordWrap/>
        <w:overflowPunct/>
        <w:topLinePunct w:val="0"/>
        <w:autoSpaceDE/>
        <w:autoSpaceDN/>
        <w:bidi w:val="0"/>
        <w:adjustRightInd/>
        <w:snapToGrid/>
        <w:ind w:left="0" w:leftChars="0" w:firstLine="420" w:firstLineChars="200"/>
        <w:contextualSpacing/>
        <w:rPr>
          <w:rFonts w:hint="eastAsia" w:ascii="宋体" w:hAnsi="宋体" w:cs="宋体"/>
          <w:sz w:val="21"/>
          <w:szCs w:val="21"/>
        </w:rPr>
      </w:pPr>
    </w:p>
    <w:p>
      <w:pPr>
        <w:keepNext w:val="0"/>
        <w:keepLines w:val="0"/>
        <w:pageBreakBefore w:val="0"/>
        <w:widowControl/>
        <w:kinsoku/>
        <w:wordWrap/>
        <w:overflowPunct/>
        <w:topLinePunct w:val="0"/>
        <w:autoSpaceDE/>
        <w:autoSpaceDN/>
        <w:bidi w:val="0"/>
        <w:adjustRightInd/>
        <w:snapToGrid/>
        <w:contextualSpacing/>
        <w:jc w:val="center"/>
        <w:rPr>
          <w:rFonts w:hint="default" w:ascii="宋体" w:hAnsi="宋体" w:eastAsia="宋体" w:cs="宋体"/>
          <w:sz w:val="30"/>
          <w:szCs w:val="30"/>
          <w:lang w:val="en-US" w:eastAsia="zh-CN"/>
        </w:rPr>
      </w:pPr>
      <w:r>
        <w:rPr>
          <w:rFonts w:hint="eastAsia" w:ascii="楷体" w:hAnsi="楷体" w:eastAsia="楷体" w:cs="楷体"/>
          <w:sz w:val="30"/>
          <w:szCs w:val="30"/>
          <w:lang w:val="en-US" w:eastAsia="zh-CN"/>
        </w:rPr>
        <w:t>徐斌</w:t>
      </w:r>
      <w:r>
        <w:rPr>
          <w:rFonts w:hint="default" w:ascii="楷体" w:hAnsi="楷体" w:eastAsia="楷体" w:cs="楷体"/>
          <w:sz w:val="30"/>
          <w:szCs w:val="30"/>
          <w:lang w:val="en-US" w:eastAsia="zh-CN"/>
        </w:rPr>
        <w:t xml:space="preserve">  </w:t>
      </w:r>
      <w:r>
        <w:rPr>
          <w:rFonts w:hint="eastAsia" w:ascii="楷体" w:hAnsi="楷体" w:eastAsia="楷体" w:cs="楷体"/>
          <w:sz w:val="30"/>
          <w:szCs w:val="30"/>
          <w:lang w:val="en-US" w:eastAsia="zh-CN"/>
        </w:rPr>
        <w:t>黄玉湄</w:t>
      </w:r>
      <w:r>
        <w:rPr>
          <w:rStyle w:val="12"/>
          <w:rFonts w:hint="eastAsia" w:ascii="楷体" w:hAnsi="楷体" w:eastAsia="楷体" w:cs="楷体"/>
          <w:sz w:val="30"/>
          <w:szCs w:val="30"/>
          <w:lang w:val="en-US" w:eastAsia="zh-CN"/>
        </w:rPr>
        <w:footnoteReference w:id="0"/>
      </w:r>
    </w:p>
    <w:p>
      <w:pPr>
        <w:keepNext w:val="0"/>
        <w:keepLines w:val="0"/>
        <w:pageBreakBefore w:val="0"/>
        <w:widowControl/>
        <w:kinsoku/>
        <w:wordWrap/>
        <w:overflowPunct/>
        <w:topLinePunct w:val="0"/>
        <w:autoSpaceDE/>
        <w:autoSpaceDN/>
        <w:bidi w:val="0"/>
        <w:adjustRightInd/>
        <w:snapToGrid/>
        <w:spacing w:line="360" w:lineRule="auto"/>
        <w:rPr>
          <w:rFonts w:hint="default" w:ascii="宋体" w:hAnsi="宋体" w:cs="宋体"/>
          <w:sz w:val="24"/>
          <w:szCs w:val="24"/>
          <w:lang w:val="en-US" w:eastAsia="zh-CN"/>
        </w:rPr>
      </w:pPr>
      <w:r>
        <w:rPr>
          <w:rFonts w:hint="eastAsia" w:ascii="黑体" w:hAnsi="黑体" w:eastAsia="黑体" w:cs="黑体"/>
          <w:b w:val="0"/>
          <w:bCs w:val="0"/>
          <w:sz w:val="28"/>
          <w:szCs w:val="28"/>
          <w:lang w:val="en-US" w:eastAsia="zh-CN"/>
        </w:rPr>
        <w:t>摘要：</w:t>
      </w:r>
      <w:r>
        <w:rPr>
          <w:rFonts w:hint="eastAsia" w:ascii="宋体" w:hAnsi="宋体" w:cs="宋体"/>
          <w:sz w:val="24"/>
          <w:szCs w:val="24"/>
          <w:lang w:val="en-US" w:eastAsia="zh-CN"/>
        </w:rPr>
        <w:t>尽管粤、港、澳三地现行法律制度和司法传统具有较大不同，但在建设粤港澳大湾区的大背景下，从司法实践的角度加强协作，合力保护公共利益具有现实意义，民事公益诉讼协作是重要抓手。通过分析粤、港、澳三地涉及民事公益诉讼的法律制度与司法实践发现，三地在公共利益保护中，存在目标趋同、领域重合、检察机关及社会团体职能地位相似等相通之处，是三地开展民事公益诉讼协作的法律制度基础。同时，三地在既往的司法协作中形成的大量共识、协作机制及其经验做法，为进一步开展民事公益诉讼协作提供了良好的实践基础。在具体的协作机制构建中，内地九市可通过集中管辖、专项监督、争取外力支持等形式进一步加强协作，内地与港、澳协作则要求存同异，通过协商、互助、信息互通、人才交流等方式，进一步提高工作协同性和整体实效。</w:t>
      </w:r>
    </w:p>
    <w:p>
      <w:pPr>
        <w:keepNext w:val="0"/>
        <w:keepLines w:val="0"/>
        <w:pageBreakBefore w:val="0"/>
        <w:widowControl/>
        <w:kinsoku/>
        <w:wordWrap/>
        <w:overflowPunct/>
        <w:topLinePunct w:val="0"/>
        <w:autoSpaceDE/>
        <w:autoSpaceDN/>
        <w:bidi w:val="0"/>
        <w:adjustRightInd/>
        <w:snapToGrid/>
        <w:spacing w:line="360" w:lineRule="auto"/>
        <w:ind w:left="0" w:leftChars="0" w:firstLine="0" w:firstLineChars="0"/>
        <w:rPr>
          <w:rFonts w:hint="eastAsia" w:ascii="宋体" w:hAnsi="宋体" w:eastAsia="宋体" w:cs="宋体"/>
          <w:sz w:val="24"/>
          <w:szCs w:val="24"/>
        </w:rPr>
      </w:pPr>
      <w:r>
        <w:rPr>
          <w:rFonts w:hint="eastAsia" w:ascii="黑体" w:hAnsi="黑体" w:eastAsia="黑体" w:cs="黑体"/>
          <w:b w:val="0"/>
          <w:bCs w:val="0"/>
          <w:sz w:val="28"/>
          <w:szCs w:val="28"/>
          <w:lang w:val="en-US" w:eastAsia="zh-CN"/>
        </w:rPr>
        <w:t>关键词：</w:t>
      </w:r>
      <w:r>
        <w:rPr>
          <w:rFonts w:hint="eastAsia" w:ascii="宋体" w:hAnsi="宋体" w:cs="宋体"/>
          <w:sz w:val="24"/>
          <w:szCs w:val="24"/>
          <w:lang w:val="en-US" w:eastAsia="zh-CN"/>
        </w:rPr>
        <w:t>粤港澳大湾区；民事公益诉讼；司法协助；协作机制</w:t>
      </w:r>
    </w:p>
    <w:p>
      <w:pPr>
        <w:keepNext w:val="0"/>
        <w:keepLines w:val="0"/>
        <w:pageBreakBefore w:val="0"/>
        <w:widowControl/>
        <w:numPr>
          <w:ilvl w:val="0"/>
          <w:numId w:val="0"/>
        </w:numPr>
        <w:kinsoku/>
        <w:wordWrap/>
        <w:overflowPunct/>
        <w:topLinePunct w:val="0"/>
        <w:autoSpaceDE/>
        <w:autoSpaceDN/>
        <w:bidi w:val="0"/>
        <w:adjustRightInd/>
        <w:snapToGrid/>
        <w:spacing w:line="360" w:lineRule="auto"/>
        <w:ind w:firstLine="600" w:firstLineChars="200"/>
        <w:textAlignment w:val="auto"/>
        <w:rPr>
          <w:rFonts w:hint="eastAsia" w:ascii="黑体" w:hAnsi="黑体" w:eastAsia="黑体" w:cs="黑体"/>
          <w:b w:val="0"/>
          <w:bCs w:val="0"/>
          <w:sz w:val="30"/>
          <w:szCs w:val="30"/>
          <w:lang w:val="en-US" w:eastAsia="zh-CN"/>
        </w:rPr>
      </w:pPr>
      <w:r>
        <w:rPr>
          <w:rFonts w:hint="eastAsia" w:ascii="黑体" w:hAnsi="黑体" w:eastAsia="黑体" w:cs="黑体"/>
          <w:b w:val="0"/>
          <w:bCs w:val="0"/>
          <w:sz w:val="30"/>
          <w:szCs w:val="30"/>
          <w:lang w:val="en-US" w:eastAsia="zh-CN"/>
        </w:rPr>
        <w:t>一、问题的提出</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黑体" w:hAnsi="黑体" w:eastAsia="黑体" w:cs="黑体"/>
          <w:b w:val="0"/>
          <w:bCs w:val="0"/>
          <w:sz w:val="30"/>
          <w:szCs w:val="30"/>
          <w:lang w:val="en-US" w:eastAsia="zh-CN"/>
        </w:rPr>
      </w:pPr>
      <w:r>
        <w:rPr>
          <w:rFonts w:hint="eastAsia" w:ascii="宋体" w:hAnsi="宋体" w:eastAsia="宋体" w:cs="宋体"/>
          <w:sz w:val="24"/>
          <w:szCs w:val="24"/>
        </w:rPr>
        <w:t>粤港澳大湾区是我国开放程度最高、经济活力最强的区域之一，</w:t>
      </w:r>
      <w:r>
        <w:rPr>
          <w:rFonts w:hint="eastAsia" w:ascii="宋体" w:hAnsi="宋体" w:eastAsia="宋体" w:cs="宋体"/>
          <w:sz w:val="24"/>
          <w:szCs w:val="24"/>
          <w:lang w:val="en-US" w:eastAsia="zh-CN"/>
        </w:rPr>
        <w:t>其涉及内地九市、香港、澳门</w:t>
      </w:r>
      <w:r>
        <w:rPr>
          <w:rFonts w:hint="eastAsia" w:ascii="宋体" w:hAnsi="宋体" w:cs="宋体"/>
          <w:sz w:val="24"/>
          <w:szCs w:val="24"/>
          <w:lang w:val="en-US" w:eastAsia="zh-CN"/>
        </w:rPr>
        <w:t>三个地区</w:t>
      </w:r>
      <w:r>
        <w:rPr>
          <w:rFonts w:hint="eastAsia" w:ascii="宋体" w:hAnsi="宋体" w:eastAsia="宋体" w:cs="宋体"/>
          <w:sz w:val="24"/>
          <w:szCs w:val="24"/>
        </w:rPr>
        <w:t>。建设粤港澳大湾区，既是新时代推动形成全面开放新格局的新尝试，也是推动“一国两制”发展的新实践。而法治建设作为粤港澳大湾区建设的重要一环，对筑牢粤港澳大湾区保护防线，推动粤港澳大湾区的高质量发展具有不可替代的作用。</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default" w:ascii="宋体" w:hAnsi="宋体" w:eastAsia="宋体" w:cs="宋体"/>
          <w:sz w:val="24"/>
          <w:szCs w:val="24"/>
          <w:lang w:val="en-US"/>
        </w:rPr>
      </w:pPr>
      <w:r>
        <w:rPr>
          <w:rFonts w:hint="eastAsia" w:ascii="宋体" w:hAnsi="宋体" w:eastAsia="宋体" w:cs="宋体"/>
          <w:sz w:val="24"/>
          <w:szCs w:val="24"/>
        </w:rPr>
        <w:t>粤港澳大湾区作为珠三角9+2城市群，</w:t>
      </w:r>
      <w:r>
        <w:rPr>
          <w:rFonts w:hint="eastAsia" w:ascii="宋体" w:hAnsi="宋体" w:eastAsia="宋体" w:cs="宋体"/>
          <w:sz w:val="24"/>
          <w:szCs w:val="24"/>
          <w:lang w:val="en-US" w:eastAsia="zh-CN"/>
        </w:rPr>
        <w:t>由于广东、香港、澳门实行不同的法律制度</w:t>
      </w:r>
      <w:r>
        <w:rPr>
          <w:rFonts w:hint="eastAsia" w:ascii="宋体" w:hAnsi="宋体" w:eastAsia="宋体" w:cs="宋体"/>
          <w:sz w:val="24"/>
          <w:szCs w:val="24"/>
        </w:rPr>
        <w:t>，在</w:t>
      </w:r>
      <w:r>
        <w:rPr>
          <w:rFonts w:hint="eastAsia" w:ascii="宋体" w:hAnsi="宋体" w:eastAsia="宋体" w:cs="宋体"/>
          <w:sz w:val="24"/>
          <w:szCs w:val="24"/>
          <w:lang w:val="en-US" w:eastAsia="zh-CN"/>
        </w:rPr>
        <w:t>执法、司法实践中出现区际法律冲突</w:t>
      </w:r>
      <w:r>
        <w:rPr>
          <w:rFonts w:hint="eastAsia" w:ascii="宋体" w:hAnsi="宋体" w:eastAsia="宋体" w:cs="宋体"/>
          <w:sz w:val="24"/>
          <w:szCs w:val="24"/>
        </w:rPr>
        <w:t>是无法避免的。</w:t>
      </w:r>
      <w:r>
        <w:rPr>
          <w:rFonts w:hint="eastAsia" w:ascii="宋体" w:hAnsi="宋体" w:eastAsia="宋体" w:cs="宋体"/>
          <w:sz w:val="24"/>
          <w:szCs w:val="24"/>
          <w:lang w:val="en-US" w:eastAsia="zh-CN"/>
        </w:rPr>
        <w:t>但</w:t>
      </w:r>
      <w:r>
        <w:rPr>
          <w:rFonts w:hint="eastAsia" w:ascii="宋体" w:hAnsi="宋体" w:eastAsia="宋体" w:cs="宋体"/>
          <w:sz w:val="24"/>
          <w:szCs w:val="24"/>
        </w:rPr>
        <w:t>粤</w:t>
      </w:r>
      <w:r>
        <w:rPr>
          <w:rFonts w:hint="eastAsia" w:ascii="宋体" w:hAnsi="宋体" w:eastAsia="宋体" w:cs="宋体"/>
          <w:sz w:val="24"/>
          <w:szCs w:val="24"/>
          <w:lang w:eastAsia="zh-CN"/>
        </w:rPr>
        <w:t>、</w:t>
      </w:r>
      <w:r>
        <w:rPr>
          <w:rFonts w:hint="eastAsia" w:ascii="宋体" w:hAnsi="宋体" w:eastAsia="宋体" w:cs="宋体"/>
          <w:sz w:val="24"/>
          <w:szCs w:val="24"/>
        </w:rPr>
        <w:t>港</w:t>
      </w:r>
      <w:r>
        <w:rPr>
          <w:rFonts w:hint="eastAsia" w:ascii="宋体" w:hAnsi="宋体" w:eastAsia="宋体" w:cs="宋体"/>
          <w:sz w:val="24"/>
          <w:szCs w:val="24"/>
          <w:lang w:eastAsia="zh-CN"/>
        </w:rPr>
        <w:t>、</w:t>
      </w:r>
      <w:r>
        <w:rPr>
          <w:rFonts w:hint="eastAsia" w:ascii="宋体" w:hAnsi="宋体" w:eastAsia="宋体" w:cs="宋体"/>
          <w:sz w:val="24"/>
          <w:szCs w:val="24"/>
        </w:rPr>
        <w:t>澳三地面临同饮一江水</w:t>
      </w:r>
      <w:r>
        <w:rPr>
          <w:rFonts w:hint="eastAsia" w:ascii="宋体" w:hAnsi="宋体" w:eastAsia="宋体" w:cs="宋体"/>
          <w:sz w:val="24"/>
          <w:szCs w:val="24"/>
          <w:lang w:eastAsia="zh-CN"/>
        </w:rPr>
        <w:t>、</w:t>
      </w:r>
      <w:r>
        <w:rPr>
          <w:rFonts w:hint="eastAsia" w:ascii="宋体" w:hAnsi="宋体" w:eastAsia="宋体" w:cs="宋体"/>
          <w:sz w:val="24"/>
          <w:szCs w:val="24"/>
        </w:rPr>
        <w:t>同享一片</w:t>
      </w:r>
      <w:r>
        <w:rPr>
          <w:rFonts w:hint="eastAsia" w:ascii="宋体" w:hAnsi="宋体" w:eastAsia="宋体" w:cs="宋体"/>
          <w:sz w:val="24"/>
          <w:szCs w:val="24"/>
          <w:lang w:val="en-US" w:eastAsia="zh-CN"/>
        </w:rPr>
        <w:t>天</w:t>
      </w:r>
      <w:r>
        <w:rPr>
          <w:rFonts w:hint="eastAsia" w:ascii="宋体" w:hAnsi="宋体" w:eastAsia="宋体" w:cs="宋体"/>
          <w:sz w:val="24"/>
          <w:szCs w:val="24"/>
        </w:rPr>
        <w:t>，“同呼吸、共命运”的现实状况，</w:t>
      </w:r>
      <w:r>
        <w:rPr>
          <w:rFonts w:hint="eastAsia" w:ascii="宋体" w:hAnsi="宋体" w:eastAsia="宋体" w:cs="宋体"/>
          <w:sz w:val="24"/>
          <w:szCs w:val="24"/>
          <w:lang w:val="en-US" w:eastAsia="zh-CN"/>
        </w:rPr>
        <w:t>因此各地在维护</w:t>
      </w:r>
      <w:r>
        <w:rPr>
          <w:rFonts w:hint="eastAsia" w:ascii="宋体" w:hAnsi="宋体" w:eastAsia="宋体" w:cs="宋体"/>
          <w:sz w:val="24"/>
          <w:szCs w:val="24"/>
        </w:rPr>
        <w:t>公共利益</w:t>
      </w:r>
      <w:r>
        <w:rPr>
          <w:rFonts w:hint="eastAsia" w:ascii="宋体" w:hAnsi="宋体" w:eastAsia="宋体" w:cs="宋体"/>
          <w:sz w:val="24"/>
          <w:szCs w:val="24"/>
          <w:lang w:val="en-US" w:eastAsia="zh-CN"/>
        </w:rPr>
        <w:t>方面具有很多的利益共同点</w:t>
      </w:r>
      <w:r>
        <w:rPr>
          <w:rFonts w:hint="eastAsia" w:ascii="宋体" w:hAnsi="宋体" w:eastAsia="宋体" w:cs="宋体"/>
          <w:sz w:val="24"/>
          <w:szCs w:val="24"/>
          <w:lang w:eastAsia="zh-CN"/>
        </w:rPr>
        <w:t>，</w:t>
      </w:r>
      <w:r>
        <w:rPr>
          <w:rFonts w:hint="eastAsia" w:ascii="宋体" w:hAnsi="宋体" w:eastAsia="宋体" w:cs="宋体"/>
          <w:sz w:val="24"/>
          <w:szCs w:val="24"/>
        </w:rPr>
        <w:t>具有</w:t>
      </w:r>
      <w:r>
        <w:rPr>
          <w:rFonts w:hint="eastAsia" w:ascii="宋体" w:hAnsi="宋体" w:eastAsia="宋体" w:cs="宋体"/>
          <w:sz w:val="24"/>
          <w:szCs w:val="24"/>
          <w:lang w:val="en-US" w:eastAsia="zh-CN"/>
        </w:rPr>
        <w:t>高度的</w:t>
      </w:r>
      <w:r>
        <w:rPr>
          <w:rFonts w:hint="eastAsia" w:ascii="宋体" w:hAnsi="宋体" w:eastAsia="宋体" w:cs="宋体"/>
          <w:sz w:val="24"/>
          <w:szCs w:val="24"/>
        </w:rPr>
        <w:t>牵连性、统一性等特点</w:t>
      </w:r>
      <w:r>
        <w:rPr>
          <w:rFonts w:hint="eastAsia" w:ascii="宋体" w:hAnsi="宋体" w:eastAsia="宋体" w:cs="宋体"/>
          <w:sz w:val="24"/>
          <w:szCs w:val="24"/>
          <w:lang w:eastAsia="zh-CN"/>
        </w:rPr>
        <w:t>。</w:t>
      </w:r>
      <w:r>
        <w:rPr>
          <w:rFonts w:hint="eastAsia" w:ascii="宋体" w:hAnsi="宋体" w:eastAsia="宋体" w:cs="宋体"/>
          <w:sz w:val="24"/>
          <w:szCs w:val="24"/>
        </w:rPr>
        <w:t>比如</w:t>
      </w:r>
      <w:r>
        <w:rPr>
          <w:rFonts w:hint="eastAsia" w:ascii="宋体" w:hAnsi="宋体" w:eastAsia="宋体" w:cs="宋体"/>
          <w:sz w:val="24"/>
          <w:szCs w:val="24"/>
          <w:lang w:val="en-US" w:eastAsia="zh-CN"/>
        </w:rPr>
        <w:t>与人民日常生产生活联系最为密切的水资源保护，香港、澳门的淡水大部分由广东供应。又比如日益受到关注和重视的大气污染防治、生物多样性保护等，</w:t>
      </w:r>
      <w:r>
        <w:rPr>
          <w:rFonts w:hint="eastAsia" w:ascii="宋体" w:hAnsi="宋体" w:eastAsia="宋体" w:cs="宋体"/>
          <w:sz w:val="24"/>
          <w:szCs w:val="24"/>
        </w:rPr>
        <w:t>粤</w:t>
      </w:r>
      <w:r>
        <w:rPr>
          <w:rFonts w:hint="eastAsia" w:ascii="宋体" w:hAnsi="宋体" w:eastAsia="宋体" w:cs="宋体"/>
          <w:sz w:val="24"/>
          <w:szCs w:val="24"/>
          <w:lang w:eastAsia="zh-CN"/>
        </w:rPr>
        <w:t>、</w:t>
      </w:r>
      <w:r>
        <w:rPr>
          <w:rFonts w:hint="eastAsia" w:ascii="宋体" w:hAnsi="宋体" w:eastAsia="宋体" w:cs="宋体"/>
          <w:sz w:val="24"/>
          <w:szCs w:val="24"/>
        </w:rPr>
        <w:t>港</w:t>
      </w:r>
      <w:r>
        <w:rPr>
          <w:rFonts w:hint="eastAsia" w:ascii="宋体" w:hAnsi="宋体" w:eastAsia="宋体" w:cs="宋体"/>
          <w:sz w:val="24"/>
          <w:szCs w:val="24"/>
          <w:lang w:eastAsia="zh-CN"/>
        </w:rPr>
        <w:t>、</w:t>
      </w:r>
      <w:r>
        <w:rPr>
          <w:rFonts w:hint="eastAsia" w:ascii="宋体" w:hAnsi="宋体" w:eastAsia="宋体" w:cs="宋体"/>
          <w:sz w:val="24"/>
          <w:szCs w:val="24"/>
        </w:rPr>
        <w:t>澳三地面临</w:t>
      </w:r>
      <w:r>
        <w:rPr>
          <w:rFonts w:hint="eastAsia" w:ascii="宋体" w:hAnsi="宋体" w:eastAsia="宋体" w:cs="宋体"/>
          <w:sz w:val="24"/>
          <w:szCs w:val="24"/>
          <w:lang w:val="en-US" w:eastAsia="zh-CN"/>
        </w:rPr>
        <w:t>的问题是共通的，追求的目标是一致的。若</w:t>
      </w:r>
      <w:r>
        <w:rPr>
          <w:rFonts w:hint="eastAsia" w:ascii="宋体" w:hAnsi="宋体" w:eastAsia="宋体" w:cs="宋体"/>
          <w:sz w:val="24"/>
          <w:szCs w:val="24"/>
        </w:rPr>
        <w:t>以行政区划作为</w:t>
      </w:r>
      <w:r>
        <w:rPr>
          <w:rFonts w:hint="eastAsia" w:ascii="宋体" w:hAnsi="宋体" w:eastAsia="宋体" w:cs="宋体"/>
          <w:sz w:val="24"/>
          <w:szCs w:val="24"/>
          <w:lang w:val="en-US" w:eastAsia="zh-CN"/>
        </w:rPr>
        <w:t>公益保护职责划分</w:t>
      </w:r>
      <w:r>
        <w:rPr>
          <w:rFonts w:hint="eastAsia" w:ascii="宋体" w:hAnsi="宋体" w:eastAsia="宋体" w:cs="宋体"/>
          <w:sz w:val="24"/>
          <w:szCs w:val="24"/>
        </w:rPr>
        <w:t>的唯一标准，</w:t>
      </w:r>
      <w:r>
        <w:rPr>
          <w:rFonts w:hint="eastAsia" w:ascii="宋体" w:hAnsi="宋体" w:eastAsia="宋体" w:cs="宋体"/>
          <w:sz w:val="24"/>
          <w:szCs w:val="24"/>
          <w:lang w:val="en-US" w:eastAsia="zh-CN"/>
        </w:rPr>
        <w:t>不同地方各行其是，则</w:t>
      </w:r>
      <w:r>
        <w:rPr>
          <w:rFonts w:hint="eastAsia" w:ascii="宋体" w:hAnsi="宋体" w:eastAsia="宋体" w:cs="宋体"/>
          <w:sz w:val="24"/>
          <w:szCs w:val="24"/>
        </w:rPr>
        <w:t>人为割裂了公益保护的</w:t>
      </w:r>
      <w:r>
        <w:rPr>
          <w:rFonts w:hint="eastAsia" w:ascii="宋体" w:hAnsi="宋体" w:eastAsia="宋体" w:cs="宋体"/>
          <w:sz w:val="24"/>
          <w:szCs w:val="24"/>
          <w:lang w:val="en-US" w:eastAsia="zh-CN"/>
        </w:rPr>
        <w:t>整体性和系统性，无法实现好的效果。综上，现阶段亟需</w:t>
      </w:r>
      <w:r>
        <w:rPr>
          <w:rFonts w:hint="eastAsia" w:ascii="宋体" w:hAnsi="宋体" w:eastAsia="宋体" w:cs="宋体"/>
          <w:sz w:val="24"/>
          <w:szCs w:val="24"/>
        </w:rPr>
        <w:t>粤</w:t>
      </w:r>
      <w:r>
        <w:rPr>
          <w:rFonts w:hint="eastAsia" w:ascii="宋体" w:hAnsi="宋体" w:eastAsia="宋体" w:cs="宋体"/>
          <w:sz w:val="24"/>
          <w:szCs w:val="24"/>
          <w:lang w:eastAsia="zh-CN"/>
        </w:rPr>
        <w:t>、</w:t>
      </w:r>
      <w:r>
        <w:rPr>
          <w:rFonts w:hint="eastAsia" w:ascii="宋体" w:hAnsi="宋体" w:eastAsia="宋体" w:cs="宋体"/>
          <w:sz w:val="24"/>
          <w:szCs w:val="24"/>
        </w:rPr>
        <w:t>港</w:t>
      </w:r>
      <w:r>
        <w:rPr>
          <w:rFonts w:hint="eastAsia" w:ascii="宋体" w:hAnsi="宋体" w:eastAsia="宋体" w:cs="宋体"/>
          <w:sz w:val="24"/>
          <w:szCs w:val="24"/>
          <w:lang w:eastAsia="zh-CN"/>
        </w:rPr>
        <w:t>、</w:t>
      </w:r>
      <w:r>
        <w:rPr>
          <w:rFonts w:hint="eastAsia" w:ascii="宋体" w:hAnsi="宋体" w:eastAsia="宋体" w:cs="宋体"/>
          <w:sz w:val="24"/>
          <w:szCs w:val="24"/>
        </w:rPr>
        <w:t>澳三地</w:t>
      </w:r>
      <w:r>
        <w:rPr>
          <w:rFonts w:hint="eastAsia" w:ascii="宋体" w:hAnsi="宋体" w:eastAsia="宋体" w:cs="宋体"/>
          <w:sz w:val="24"/>
          <w:szCs w:val="24"/>
          <w:lang w:val="en-US" w:eastAsia="zh-CN"/>
        </w:rPr>
        <w:t>加强协作配合。同理，检察公益诉讼</w:t>
      </w:r>
      <w:r>
        <w:rPr>
          <w:rFonts w:hint="eastAsia" w:ascii="宋体" w:hAnsi="宋体" w:eastAsia="宋体" w:cs="宋体"/>
          <w:sz w:val="24"/>
          <w:szCs w:val="24"/>
        </w:rPr>
        <w:t>也不能以行政区划</w:t>
      </w:r>
      <w:r>
        <w:rPr>
          <w:rFonts w:hint="eastAsia" w:ascii="宋体" w:hAnsi="宋体" w:eastAsia="宋体" w:cs="宋体"/>
          <w:sz w:val="24"/>
          <w:szCs w:val="24"/>
          <w:lang w:val="en-US" w:eastAsia="zh-CN"/>
        </w:rPr>
        <w:t>作为</w:t>
      </w:r>
      <w:r>
        <w:rPr>
          <w:rFonts w:hint="eastAsia" w:ascii="宋体" w:hAnsi="宋体" w:eastAsia="宋体" w:cs="宋体"/>
          <w:sz w:val="24"/>
          <w:szCs w:val="24"/>
        </w:rPr>
        <w:t>司法管辖</w:t>
      </w:r>
      <w:r>
        <w:rPr>
          <w:rFonts w:hint="eastAsia" w:ascii="宋体" w:hAnsi="宋体" w:eastAsia="宋体" w:cs="宋体"/>
          <w:sz w:val="24"/>
          <w:szCs w:val="24"/>
          <w:lang w:val="en-US" w:eastAsia="zh-CN"/>
        </w:rPr>
        <w:t>唯一标准，否则</w:t>
      </w:r>
      <w:r>
        <w:rPr>
          <w:rFonts w:hint="eastAsia" w:ascii="宋体" w:hAnsi="宋体" w:eastAsia="宋体" w:cs="宋体"/>
          <w:sz w:val="24"/>
          <w:szCs w:val="24"/>
        </w:rPr>
        <w:t>公益诉讼职权配置与公益保护的实际需求不相匹配，公益诉讼的就不能发挥出应有的效用。</w:t>
      </w:r>
      <w:r>
        <w:rPr>
          <w:rFonts w:hint="eastAsia" w:ascii="宋体" w:hAnsi="宋体" w:eastAsia="宋体" w:cs="宋体"/>
          <w:sz w:val="24"/>
          <w:szCs w:val="24"/>
          <w:lang w:val="en-US" w:eastAsia="zh-CN"/>
        </w:rPr>
        <w:t>而在</w:t>
      </w:r>
      <w:r>
        <w:rPr>
          <w:rFonts w:hint="eastAsia" w:ascii="宋体" w:hAnsi="宋体" w:eastAsia="宋体" w:cs="宋体"/>
          <w:sz w:val="24"/>
          <w:szCs w:val="24"/>
        </w:rPr>
        <w:t>粤</w:t>
      </w:r>
      <w:r>
        <w:rPr>
          <w:rFonts w:hint="eastAsia" w:ascii="宋体" w:hAnsi="宋体" w:eastAsia="宋体" w:cs="宋体"/>
          <w:sz w:val="24"/>
          <w:szCs w:val="24"/>
          <w:lang w:eastAsia="zh-CN"/>
        </w:rPr>
        <w:t>、</w:t>
      </w:r>
      <w:r>
        <w:rPr>
          <w:rFonts w:hint="eastAsia" w:ascii="宋体" w:hAnsi="宋体" w:eastAsia="宋体" w:cs="宋体"/>
          <w:sz w:val="24"/>
          <w:szCs w:val="24"/>
        </w:rPr>
        <w:t>港</w:t>
      </w:r>
      <w:r>
        <w:rPr>
          <w:rFonts w:hint="eastAsia" w:ascii="宋体" w:hAnsi="宋体" w:eastAsia="宋体" w:cs="宋体"/>
          <w:sz w:val="24"/>
          <w:szCs w:val="24"/>
          <w:lang w:eastAsia="zh-CN"/>
        </w:rPr>
        <w:t>、</w:t>
      </w:r>
      <w:r>
        <w:rPr>
          <w:rFonts w:hint="eastAsia" w:ascii="宋体" w:hAnsi="宋体" w:eastAsia="宋体" w:cs="宋体"/>
          <w:sz w:val="24"/>
          <w:szCs w:val="24"/>
        </w:rPr>
        <w:t>澳三地</w:t>
      </w:r>
      <w:r>
        <w:rPr>
          <w:rFonts w:hint="eastAsia" w:ascii="宋体" w:hAnsi="宋体" w:eastAsia="宋体" w:cs="宋体"/>
          <w:sz w:val="24"/>
          <w:szCs w:val="24"/>
          <w:lang w:val="en-US" w:eastAsia="zh-CN"/>
        </w:rPr>
        <w:t>开展公益诉讼协作时，首当其冲需要解决的问题便是，如何既尊重三地法律制度的差异，又科学合理地解决区际法律冲突问题，最大限度凝聚各方共识，找准法律适用的切入点。</w:t>
      </w:r>
    </w:p>
    <w:p>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党的二十大</w:t>
      </w:r>
      <w:r>
        <w:rPr>
          <w:rFonts w:hint="eastAsia" w:ascii="宋体" w:hAnsi="宋体" w:eastAsia="宋体" w:cs="宋体"/>
          <w:sz w:val="24"/>
          <w:szCs w:val="24"/>
          <w:lang w:val="en-US" w:eastAsia="zh-CN"/>
        </w:rPr>
        <w:t>提出要</w:t>
      </w:r>
      <w:r>
        <w:rPr>
          <w:rFonts w:hint="eastAsia" w:ascii="宋体" w:hAnsi="宋体" w:eastAsia="宋体" w:cs="宋体"/>
          <w:sz w:val="24"/>
          <w:szCs w:val="24"/>
        </w:rPr>
        <w:t>“完善公益诉讼制度”</w:t>
      </w:r>
      <w:r>
        <w:rPr>
          <w:rFonts w:hint="eastAsia" w:ascii="宋体" w:hAnsi="宋体" w:eastAsia="宋体" w:cs="宋体"/>
          <w:sz w:val="24"/>
          <w:szCs w:val="24"/>
          <w:lang w:eastAsia="zh-CN"/>
        </w:rPr>
        <w:t>，</w:t>
      </w:r>
      <w:r>
        <w:rPr>
          <w:rFonts w:hint="eastAsia" w:ascii="宋体" w:hAnsi="宋体" w:eastAsia="宋体" w:cs="宋体"/>
          <w:sz w:val="24"/>
          <w:szCs w:val="24"/>
        </w:rPr>
        <w:t>对</w:t>
      </w:r>
      <w:r>
        <w:rPr>
          <w:rFonts w:hint="eastAsia" w:ascii="宋体" w:hAnsi="宋体" w:eastAsia="宋体" w:cs="宋体"/>
          <w:sz w:val="24"/>
          <w:szCs w:val="24"/>
          <w:lang w:val="en-US" w:eastAsia="zh-CN"/>
        </w:rPr>
        <w:t>检察</w:t>
      </w:r>
      <w:r>
        <w:rPr>
          <w:rFonts w:hint="eastAsia" w:ascii="宋体" w:hAnsi="宋体" w:eastAsia="宋体" w:cs="宋体"/>
          <w:sz w:val="24"/>
          <w:szCs w:val="24"/>
        </w:rPr>
        <w:t>公益诉讼工作</w:t>
      </w:r>
      <w:r>
        <w:rPr>
          <w:rFonts w:hint="eastAsia" w:ascii="宋体" w:hAnsi="宋体" w:eastAsia="宋体" w:cs="宋体"/>
          <w:sz w:val="24"/>
          <w:szCs w:val="24"/>
          <w:lang w:val="en-US" w:eastAsia="zh-CN"/>
        </w:rPr>
        <w:t>提出了新的要求，一方面要加强经验总结，形成制度机制。另一方面同时要加紧开展实践探索，为完善制度提供更加充分的实践样本</w:t>
      </w:r>
      <w:r>
        <w:rPr>
          <w:rFonts w:hint="eastAsia" w:ascii="宋体" w:hAnsi="宋体" w:eastAsia="宋体" w:cs="宋体"/>
          <w:sz w:val="24"/>
          <w:szCs w:val="24"/>
        </w:rPr>
        <w:t>。粤港澳大湾区</w:t>
      </w:r>
      <w:r>
        <w:rPr>
          <w:rFonts w:hint="eastAsia" w:ascii="宋体" w:hAnsi="宋体" w:eastAsia="宋体" w:cs="宋体"/>
          <w:sz w:val="24"/>
          <w:szCs w:val="24"/>
          <w:lang w:val="en-US" w:eastAsia="zh-CN"/>
        </w:rPr>
        <w:t>建设</w:t>
      </w:r>
      <w:r>
        <w:rPr>
          <w:rFonts w:hint="eastAsia" w:ascii="宋体" w:hAnsi="宋体" w:eastAsia="宋体" w:cs="宋体"/>
          <w:sz w:val="24"/>
          <w:szCs w:val="24"/>
        </w:rPr>
        <w:t>，</w:t>
      </w:r>
      <w:r>
        <w:rPr>
          <w:rFonts w:hint="eastAsia" w:ascii="宋体" w:hAnsi="宋体" w:eastAsia="宋体" w:cs="宋体"/>
          <w:sz w:val="24"/>
          <w:szCs w:val="24"/>
          <w:lang w:val="en-US" w:eastAsia="zh-CN"/>
        </w:rPr>
        <w:t>既对检察公益诉讼在不同的法域开展协作配合提出了新的要求，同时也为检察机关在这方面开展实践探索创造了条件。改革开放以来，</w:t>
      </w:r>
      <w:r>
        <w:rPr>
          <w:rFonts w:hint="eastAsia" w:ascii="宋体" w:hAnsi="宋体" w:eastAsia="宋体" w:cs="宋体"/>
          <w:sz w:val="24"/>
          <w:szCs w:val="24"/>
        </w:rPr>
        <w:t>粤</w:t>
      </w:r>
      <w:r>
        <w:rPr>
          <w:rFonts w:hint="eastAsia" w:ascii="宋体" w:hAnsi="宋体" w:eastAsia="宋体" w:cs="宋体"/>
          <w:sz w:val="24"/>
          <w:szCs w:val="24"/>
          <w:lang w:eastAsia="zh-CN"/>
        </w:rPr>
        <w:t>、</w:t>
      </w:r>
      <w:r>
        <w:rPr>
          <w:rFonts w:hint="eastAsia" w:ascii="宋体" w:hAnsi="宋体" w:eastAsia="宋体" w:cs="宋体"/>
          <w:sz w:val="24"/>
          <w:szCs w:val="24"/>
        </w:rPr>
        <w:t>港</w:t>
      </w:r>
      <w:r>
        <w:rPr>
          <w:rFonts w:hint="eastAsia" w:ascii="宋体" w:hAnsi="宋体" w:eastAsia="宋体" w:cs="宋体"/>
          <w:sz w:val="24"/>
          <w:szCs w:val="24"/>
          <w:lang w:eastAsia="zh-CN"/>
        </w:rPr>
        <w:t>、</w:t>
      </w:r>
      <w:r>
        <w:rPr>
          <w:rFonts w:hint="eastAsia" w:ascii="宋体" w:hAnsi="宋体" w:eastAsia="宋体" w:cs="宋体"/>
          <w:sz w:val="24"/>
          <w:szCs w:val="24"/>
        </w:rPr>
        <w:t>澳三地</w:t>
      </w:r>
      <w:r>
        <w:rPr>
          <w:rFonts w:hint="eastAsia" w:ascii="宋体" w:hAnsi="宋体" w:eastAsia="宋体" w:cs="宋体"/>
          <w:sz w:val="24"/>
          <w:szCs w:val="24"/>
          <w:lang w:val="en-US" w:eastAsia="zh-CN"/>
        </w:rPr>
        <w:t>人员往来频繁，经济交往密切，</w:t>
      </w:r>
      <w:r>
        <w:rPr>
          <w:rFonts w:hint="eastAsia" w:ascii="宋体" w:hAnsi="宋体" w:eastAsia="宋体" w:cs="宋体"/>
          <w:sz w:val="24"/>
          <w:szCs w:val="24"/>
        </w:rPr>
        <w:t>在</w:t>
      </w:r>
      <w:r>
        <w:rPr>
          <w:rFonts w:hint="eastAsia" w:ascii="宋体" w:hAnsi="宋体" w:eastAsia="宋体" w:cs="宋体"/>
          <w:sz w:val="24"/>
          <w:szCs w:val="24"/>
          <w:lang w:val="en-US" w:eastAsia="zh-CN"/>
        </w:rPr>
        <w:t>行政、</w:t>
      </w:r>
      <w:r>
        <w:rPr>
          <w:rFonts w:hint="eastAsia" w:ascii="宋体" w:hAnsi="宋体" w:eastAsia="宋体" w:cs="宋体"/>
          <w:sz w:val="24"/>
          <w:szCs w:val="24"/>
        </w:rPr>
        <w:t>司法</w:t>
      </w:r>
      <w:r>
        <w:rPr>
          <w:rFonts w:hint="eastAsia" w:ascii="宋体" w:hAnsi="宋体" w:eastAsia="宋体" w:cs="宋体"/>
          <w:sz w:val="24"/>
          <w:szCs w:val="24"/>
          <w:lang w:val="en-US" w:eastAsia="zh-CN"/>
        </w:rPr>
        <w:t>等各方面，都已逐步形成相应的</w:t>
      </w:r>
      <w:r>
        <w:rPr>
          <w:rFonts w:hint="eastAsia" w:ascii="宋体" w:hAnsi="宋体" w:eastAsia="宋体" w:cs="宋体"/>
          <w:sz w:val="24"/>
          <w:szCs w:val="24"/>
        </w:rPr>
        <w:t>协作</w:t>
      </w:r>
      <w:r>
        <w:rPr>
          <w:rFonts w:hint="eastAsia" w:ascii="宋体" w:hAnsi="宋体" w:eastAsia="宋体" w:cs="宋体"/>
          <w:sz w:val="24"/>
          <w:szCs w:val="24"/>
          <w:lang w:val="en-US" w:eastAsia="zh-CN"/>
        </w:rPr>
        <w:t>机制，为</w:t>
      </w:r>
      <w:r>
        <w:rPr>
          <w:rFonts w:hint="eastAsia" w:ascii="宋体" w:hAnsi="宋体" w:eastAsia="宋体" w:cs="宋体"/>
          <w:sz w:val="24"/>
          <w:szCs w:val="24"/>
        </w:rPr>
        <w:t>粤港澳大湾区民事公益诉讼协作奠定了基础。本文将以民事公益诉讼为切入点，</w:t>
      </w:r>
      <w:r>
        <w:rPr>
          <w:rFonts w:hint="eastAsia" w:ascii="宋体" w:hAnsi="宋体" w:eastAsia="宋体" w:cs="宋体"/>
          <w:sz w:val="24"/>
          <w:szCs w:val="24"/>
          <w:lang w:val="en-US" w:eastAsia="zh-CN"/>
        </w:rPr>
        <w:t>研究</w:t>
      </w:r>
      <w:r>
        <w:rPr>
          <w:rFonts w:hint="eastAsia" w:ascii="宋体" w:hAnsi="宋体" w:eastAsia="宋体" w:cs="宋体"/>
          <w:sz w:val="24"/>
          <w:szCs w:val="24"/>
        </w:rPr>
        <w:t>探讨粤港澳大湾区开展民事公益诉讼协作的</w:t>
      </w:r>
      <w:r>
        <w:rPr>
          <w:rFonts w:hint="eastAsia" w:ascii="宋体" w:hAnsi="宋体" w:eastAsia="宋体" w:cs="宋体"/>
          <w:sz w:val="24"/>
          <w:szCs w:val="24"/>
          <w:lang w:val="en-US" w:eastAsia="zh-CN"/>
        </w:rPr>
        <w:t>相关问题</w:t>
      </w:r>
      <w:r>
        <w:rPr>
          <w:rFonts w:hint="eastAsia" w:ascii="宋体" w:hAnsi="宋体" w:eastAsia="宋体" w:cs="宋体"/>
          <w:sz w:val="24"/>
          <w:szCs w:val="24"/>
        </w:rPr>
        <w:t>。</w:t>
      </w:r>
    </w:p>
    <w:p>
      <w:pPr>
        <w:pStyle w:val="15"/>
        <w:keepNext w:val="0"/>
        <w:keepLines w:val="0"/>
        <w:pageBreakBefore w:val="0"/>
        <w:widowControl/>
        <w:numPr>
          <w:ilvl w:val="0"/>
          <w:numId w:val="1"/>
        </w:numPr>
        <w:kinsoku/>
        <w:wordWrap/>
        <w:overflowPunct/>
        <w:topLinePunct w:val="0"/>
        <w:autoSpaceDE/>
        <w:autoSpaceDN/>
        <w:bidi w:val="0"/>
        <w:adjustRightInd/>
        <w:snapToGrid/>
        <w:spacing w:line="360" w:lineRule="auto"/>
        <w:ind w:left="0" w:leftChars="0" w:firstLine="560"/>
        <w:contextualSpacing/>
        <w:textAlignment w:val="auto"/>
        <w:rPr>
          <w:rFonts w:hint="eastAsia" w:ascii="黑体" w:hAnsi="黑体" w:eastAsia="黑体" w:cs="黑体"/>
          <w:b w:val="0"/>
          <w:bCs w:val="0"/>
          <w:kern w:val="2"/>
          <w:sz w:val="30"/>
          <w:szCs w:val="30"/>
          <w:lang w:val="en-US" w:eastAsia="zh-CN" w:bidi="ar-SA"/>
        </w:rPr>
      </w:pPr>
      <w:r>
        <w:rPr>
          <w:rFonts w:hint="eastAsia" w:ascii="黑体" w:hAnsi="黑体" w:eastAsia="黑体" w:cs="黑体"/>
          <w:b w:val="0"/>
          <w:bCs w:val="0"/>
          <w:kern w:val="2"/>
          <w:sz w:val="30"/>
          <w:szCs w:val="30"/>
          <w:lang w:val="en-US" w:eastAsia="zh-CN" w:bidi="ar-SA"/>
        </w:rPr>
        <w:t>内地、香港、澳门民事公益属性诉讼现状分析</w:t>
      </w:r>
    </w:p>
    <w:p>
      <w:pPr>
        <w:pStyle w:val="15"/>
        <w:keepNext w:val="0"/>
        <w:keepLines w:val="0"/>
        <w:pageBreakBefore w:val="0"/>
        <w:widowControl/>
        <w:numPr>
          <w:ilvl w:val="0"/>
          <w:numId w:val="0"/>
        </w:numPr>
        <w:kinsoku/>
        <w:wordWrap/>
        <w:overflowPunct/>
        <w:topLinePunct w:val="0"/>
        <w:autoSpaceDE/>
        <w:autoSpaceDN/>
        <w:bidi w:val="0"/>
        <w:adjustRightInd/>
        <w:snapToGrid/>
        <w:spacing w:line="360" w:lineRule="auto"/>
        <w:ind w:firstLine="480" w:firstLineChars="200"/>
        <w:contextualSpacing/>
        <w:textAlignment w:val="auto"/>
        <w:rPr>
          <w:rFonts w:hint="default"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2017年7月1日，国家发展和改革委员会与粵港澳三地政府签订了《深化粤港澳合作推进大湾区建设框架协议</w:t>
      </w:r>
      <w:r>
        <w:rPr>
          <w:rFonts w:hint="default" w:ascii="宋体" w:hAnsi="宋体" w:eastAsia="宋体" w:cs="宋体"/>
          <w:b w:val="0"/>
          <w:bCs w:val="0"/>
          <w:kern w:val="2"/>
          <w:sz w:val="24"/>
          <w:szCs w:val="24"/>
          <w:lang w:val="en-US" w:eastAsia="zh-CN" w:bidi="ar-SA"/>
        </w:rPr>
        <w:t>》，</w:t>
      </w:r>
      <w:r>
        <w:rPr>
          <w:rFonts w:hint="eastAsia" w:ascii="宋体" w:hAnsi="宋体" w:eastAsia="宋体" w:cs="宋体"/>
          <w:b w:val="0"/>
          <w:bCs w:val="0"/>
          <w:kern w:val="2"/>
          <w:sz w:val="24"/>
          <w:szCs w:val="24"/>
          <w:lang w:val="en-US" w:eastAsia="zh-CN" w:bidi="ar-SA"/>
        </w:rPr>
        <w:t>其中三地合作的重点领域有“</w:t>
      </w:r>
      <w:r>
        <w:rPr>
          <w:rFonts w:hint="default" w:ascii="宋体" w:hAnsi="宋体" w:eastAsia="宋体" w:cs="宋体"/>
          <w:b w:val="0"/>
          <w:bCs w:val="0"/>
          <w:kern w:val="2"/>
          <w:sz w:val="24"/>
          <w:szCs w:val="24"/>
          <w:lang w:val="en-US" w:eastAsia="zh-CN" w:bidi="ar-SA"/>
        </w:rPr>
        <w:t>（八）共建宜居宜业宜游的优质生活圈。以改善民生为重点，提高社会管理和公共服务能力和水平，增加优质公共服务和生产生活产品供给，打造国际化教育高地，完善就业创业服务体系，加强人文交流、促进文化繁荣发展，推进区域旅游发展，支持澳门打造旅游教育培训基地，共建健康湾区，完善生态建设和环境保护合作机制，建设绿色低碳湾区。”</w:t>
      </w:r>
      <w:r>
        <w:rPr>
          <w:rFonts w:hint="default" w:ascii="宋体" w:hAnsi="宋体" w:eastAsia="宋体" w:cs="宋体"/>
          <w:b w:val="0"/>
          <w:bCs w:val="0"/>
          <w:kern w:val="2"/>
          <w:sz w:val="24"/>
          <w:szCs w:val="24"/>
          <w:vertAlign w:val="superscript"/>
          <w:lang w:val="en-US" w:eastAsia="zh-CN" w:bidi="ar-SA"/>
        </w:rPr>
        <w:footnoteReference w:id="1"/>
      </w:r>
      <w:r>
        <w:rPr>
          <w:rFonts w:hint="eastAsia" w:ascii="宋体" w:hAnsi="宋体" w:eastAsia="宋体" w:cs="宋体"/>
          <w:b w:val="0"/>
          <w:bCs w:val="0"/>
          <w:kern w:val="2"/>
          <w:sz w:val="24"/>
          <w:szCs w:val="24"/>
          <w:lang w:val="en-US" w:eastAsia="zh-CN" w:bidi="ar-SA"/>
        </w:rPr>
        <w:t>同日，我国内地</w:t>
      </w:r>
      <w:r>
        <w:rPr>
          <w:rFonts w:hint="default" w:ascii="宋体" w:hAnsi="宋体" w:eastAsia="宋体" w:cs="宋体"/>
          <w:b w:val="0"/>
          <w:bCs w:val="0"/>
          <w:kern w:val="2"/>
          <w:sz w:val="24"/>
          <w:szCs w:val="24"/>
          <w:lang w:val="en-US" w:eastAsia="zh-CN" w:bidi="ar-SA"/>
        </w:rPr>
        <w:t>正式建立了</w:t>
      </w:r>
      <w:r>
        <w:rPr>
          <w:rFonts w:hint="eastAsia" w:ascii="宋体" w:hAnsi="宋体" w:eastAsia="宋体" w:cs="宋体"/>
          <w:b w:val="0"/>
          <w:bCs w:val="0"/>
          <w:kern w:val="2"/>
          <w:sz w:val="24"/>
          <w:szCs w:val="24"/>
          <w:lang w:val="en-US" w:eastAsia="zh-CN" w:bidi="ar-SA"/>
        </w:rPr>
        <w:t>检察</w:t>
      </w:r>
      <w:r>
        <w:rPr>
          <w:rFonts w:hint="default" w:ascii="宋体" w:hAnsi="宋体" w:eastAsia="宋体" w:cs="宋体"/>
          <w:b w:val="0"/>
          <w:bCs w:val="0"/>
          <w:kern w:val="2"/>
          <w:sz w:val="24"/>
          <w:szCs w:val="24"/>
          <w:lang w:val="en-US" w:eastAsia="zh-CN" w:bidi="ar-SA"/>
        </w:rPr>
        <w:t>公益诉讼制度，确立了公益司法保护的中国方案，成为中国式现代化在法治领域的重要体现。</w:t>
      </w:r>
      <w:r>
        <w:rPr>
          <w:rFonts w:hint="default" w:ascii="宋体" w:hAnsi="宋体" w:eastAsia="宋体" w:cs="宋体"/>
          <w:b w:val="0"/>
          <w:bCs w:val="0"/>
          <w:kern w:val="2"/>
          <w:sz w:val="24"/>
          <w:szCs w:val="24"/>
          <w:lang w:val="en-US" w:eastAsia="zh-CN" w:bidi="ar-SA"/>
        </w:rPr>
        <w:footnoteReference w:id="2"/>
      </w:r>
      <w:r>
        <w:rPr>
          <w:rFonts w:hint="eastAsia" w:ascii="宋体" w:hAnsi="宋体" w:eastAsia="宋体" w:cs="宋体"/>
          <w:b w:val="0"/>
          <w:bCs w:val="0"/>
          <w:kern w:val="2"/>
          <w:sz w:val="24"/>
          <w:szCs w:val="24"/>
          <w:lang w:val="en-US" w:eastAsia="zh-CN" w:bidi="ar-SA"/>
        </w:rPr>
        <w:t>同一天发生的两件具有历史性意义的事件，其目的上具有一定的趋同性，</w:t>
      </w:r>
      <w:r>
        <w:rPr>
          <w:rFonts w:hint="default" w:ascii="宋体" w:hAnsi="宋体" w:eastAsia="宋体" w:cs="宋体"/>
          <w:b w:val="0"/>
          <w:bCs w:val="0"/>
          <w:kern w:val="2"/>
          <w:sz w:val="24"/>
          <w:szCs w:val="24"/>
          <w:lang w:val="en-US" w:eastAsia="zh-CN" w:bidi="ar-SA"/>
        </w:rPr>
        <w:t>“宜居宜业宜游”的</w:t>
      </w:r>
      <w:r>
        <w:rPr>
          <w:rFonts w:hint="eastAsia" w:ascii="宋体" w:hAnsi="宋体" w:eastAsia="宋体" w:cs="宋体"/>
          <w:b w:val="0"/>
          <w:bCs w:val="0"/>
          <w:kern w:val="2"/>
          <w:sz w:val="24"/>
          <w:szCs w:val="24"/>
          <w:lang w:val="en-US" w:eastAsia="zh-CN" w:bidi="ar-SA"/>
        </w:rPr>
        <w:t>粤港澳大</w:t>
      </w:r>
      <w:r>
        <w:rPr>
          <w:rFonts w:hint="default" w:ascii="宋体" w:hAnsi="宋体" w:eastAsia="宋体" w:cs="宋体"/>
          <w:b w:val="0"/>
          <w:bCs w:val="0"/>
          <w:kern w:val="2"/>
          <w:sz w:val="24"/>
          <w:szCs w:val="24"/>
          <w:lang w:val="en-US" w:eastAsia="zh-CN" w:bidi="ar-SA"/>
        </w:rPr>
        <w:t>湾区建设目标与</w:t>
      </w:r>
      <w:r>
        <w:rPr>
          <w:rFonts w:hint="eastAsia" w:ascii="宋体" w:hAnsi="宋体" w:eastAsia="宋体" w:cs="宋体"/>
          <w:b w:val="0"/>
          <w:bCs w:val="0"/>
          <w:kern w:val="2"/>
          <w:sz w:val="24"/>
          <w:szCs w:val="24"/>
          <w:lang w:val="en-US" w:eastAsia="zh-CN" w:bidi="ar-SA"/>
        </w:rPr>
        <w:t>检察</w:t>
      </w:r>
      <w:r>
        <w:rPr>
          <w:rFonts w:hint="default" w:ascii="宋体" w:hAnsi="宋体" w:eastAsia="宋体" w:cs="宋体"/>
          <w:b w:val="0"/>
          <w:bCs w:val="0"/>
          <w:kern w:val="2"/>
          <w:sz w:val="24"/>
          <w:szCs w:val="24"/>
          <w:lang w:val="en-US" w:eastAsia="zh-CN" w:bidi="ar-SA"/>
        </w:rPr>
        <w:t>公益诉讼以法治之力维护公共利益，为人民群众创造山更青、水更绿、环境更优、社会环境更安全的生活的目标具有同一性</w:t>
      </w:r>
      <w:r>
        <w:rPr>
          <w:rFonts w:hint="eastAsia" w:ascii="宋体" w:hAnsi="宋体" w:eastAsia="宋体" w:cs="宋体"/>
          <w:b w:val="0"/>
          <w:bCs w:val="0"/>
          <w:kern w:val="2"/>
          <w:sz w:val="24"/>
          <w:szCs w:val="24"/>
          <w:lang w:val="en-US" w:eastAsia="zh-CN" w:bidi="ar-SA"/>
        </w:rPr>
        <w:t>。</w:t>
      </w:r>
    </w:p>
    <w:p>
      <w:pPr>
        <w:keepNext w:val="0"/>
        <w:keepLines w:val="0"/>
        <w:pageBreakBefore w:val="0"/>
        <w:widowControl/>
        <w:kinsoku/>
        <w:wordWrap/>
        <w:overflowPunct/>
        <w:topLinePunct w:val="0"/>
        <w:autoSpaceDE/>
        <w:autoSpaceDN/>
        <w:bidi w:val="0"/>
        <w:adjustRightInd/>
        <w:snapToGrid/>
        <w:spacing w:line="360" w:lineRule="auto"/>
        <w:ind w:left="0" w:leftChars="0" w:firstLine="560" w:firstLineChars="200"/>
        <w:contextualSpacing/>
        <w:textAlignment w:val="auto"/>
        <w:rPr>
          <w:rFonts w:hint="eastAsia" w:ascii="黑体" w:hAnsi="黑体" w:eastAsia="黑体" w:cs="黑体"/>
          <w:b w:val="0"/>
          <w:bCs/>
          <w:sz w:val="28"/>
          <w:szCs w:val="28"/>
        </w:rPr>
      </w:pPr>
      <w:r>
        <w:rPr>
          <w:rFonts w:hint="eastAsia" w:ascii="黑体" w:hAnsi="黑体" w:eastAsia="黑体" w:cs="黑体"/>
          <w:b w:val="0"/>
          <w:bCs/>
          <w:sz w:val="28"/>
          <w:szCs w:val="28"/>
        </w:rPr>
        <w:t>（一）内地</w:t>
      </w:r>
      <w:r>
        <w:rPr>
          <w:rFonts w:hint="eastAsia" w:ascii="黑体" w:hAnsi="黑体" w:eastAsia="黑体" w:cs="黑体"/>
          <w:b w:val="0"/>
          <w:bCs/>
          <w:sz w:val="28"/>
          <w:szCs w:val="28"/>
          <w:lang w:val="en-US" w:eastAsia="zh-CN"/>
        </w:rPr>
        <w:t>检察</w:t>
      </w:r>
      <w:r>
        <w:rPr>
          <w:rFonts w:hint="eastAsia" w:ascii="黑体" w:hAnsi="黑体" w:eastAsia="黑体" w:cs="黑体"/>
          <w:b w:val="0"/>
          <w:bCs/>
          <w:sz w:val="28"/>
          <w:szCs w:val="28"/>
        </w:rPr>
        <w:t>民事公益诉讼制度</w:t>
      </w:r>
    </w:p>
    <w:p>
      <w:pPr>
        <w:pStyle w:val="7"/>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360" w:lineRule="auto"/>
        <w:ind w:left="0" w:leftChars="0" w:firstLine="480" w:firstLineChars="200"/>
        <w:contextualSpacing/>
        <w:textAlignment w:val="auto"/>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2017年6月，全国人大常委会修改民事诉讼法，第五十五条增设了民事公益诉讼制度。之后《</w:t>
      </w:r>
      <w:r>
        <w:rPr>
          <w:rFonts w:hint="eastAsia" w:ascii="宋体" w:hAnsi="宋体" w:cs="宋体"/>
          <w:b w:val="0"/>
          <w:bCs w:val="0"/>
          <w:kern w:val="2"/>
          <w:sz w:val="24"/>
          <w:szCs w:val="24"/>
          <w:lang w:val="en-US" w:eastAsia="zh-CN" w:bidi="ar-SA"/>
        </w:rPr>
        <w:t>中华人民共和国</w:t>
      </w:r>
      <w:r>
        <w:rPr>
          <w:rFonts w:hint="eastAsia" w:ascii="宋体" w:hAnsi="宋体" w:eastAsia="宋体" w:cs="宋体"/>
          <w:b w:val="0"/>
          <w:bCs w:val="0"/>
          <w:kern w:val="2"/>
          <w:sz w:val="24"/>
          <w:szCs w:val="24"/>
          <w:lang w:val="en-US" w:eastAsia="zh-CN" w:bidi="ar-SA"/>
        </w:rPr>
        <w:t>民事诉讼法》的再次修订仅调整了民事公益诉讼制度的条款序号，未改变其内容。现行《</w:t>
      </w:r>
      <w:r>
        <w:rPr>
          <w:rFonts w:hint="eastAsia" w:ascii="宋体" w:hAnsi="宋体" w:cs="宋体"/>
          <w:b w:val="0"/>
          <w:bCs w:val="0"/>
          <w:kern w:val="2"/>
          <w:sz w:val="24"/>
          <w:szCs w:val="24"/>
          <w:lang w:val="en-US" w:eastAsia="zh-CN" w:bidi="ar-SA"/>
        </w:rPr>
        <w:t>中华人民共和国</w:t>
      </w:r>
      <w:r>
        <w:rPr>
          <w:rFonts w:hint="eastAsia" w:ascii="宋体" w:hAnsi="宋体" w:eastAsia="宋体" w:cs="宋体"/>
          <w:b w:val="0"/>
          <w:bCs w:val="0"/>
          <w:kern w:val="2"/>
          <w:sz w:val="24"/>
          <w:szCs w:val="24"/>
          <w:lang w:val="en-US" w:eastAsia="zh-CN" w:bidi="ar-SA"/>
        </w:rPr>
        <w:t>民事诉讼法》第五十八条规定：“对污染环境、侵害众多消费者合法权益等损害社会公共利益的行为，法律规定的机关和有关组织可以向人民法院提起诉讼。人民检察院在履行职责中发现破坏生态环境和资源保护、食品药品安全领域侵害众多消费者合法权益等损害社会公共利益的行为，在没有前款规定的机关和组织或者前款规定的机关和组织不提起诉讼的情况下，可以向人民法院提起诉讼。前款规定的机关或者组织提起诉讼的，人民检察院可以支持起诉。”即粤港澳大湾区内地九市提起检察民事公益诉讼的受案范围主要是污染环境、侵害众多消费者合法权益等损害社会公共利益的领域。随着检察公益诉讼制度的不断发展，检察民事公益诉讼的领域已经扩大至英雄烈士保护</w:t>
      </w:r>
      <w:r>
        <w:rPr>
          <w:rFonts w:hint="eastAsia" w:ascii="宋体" w:hAnsi="宋体" w:eastAsia="宋体" w:cs="宋体"/>
          <w:b w:val="0"/>
          <w:bCs w:val="0"/>
          <w:kern w:val="2"/>
          <w:sz w:val="24"/>
          <w:szCs w:val="24"/>
          <w:vertAlign w:val="superscript"/>
          <w:lang w:val="en-US" w:eastAsia="zh-CN" w:bidi="ar-SA"/>
        </w:rPr>
        <w:footnoteReference w:id="3"/>
      </w:r>
      <w:r>
        <w:rPr>
          <w:rFonts w:hint="eastAsia" w:ascii="宋体" w:hAnsi="宋体" w:eastAsia="宋体" w:cs="宋体"/>
          <w:b w:val="0"/>
          <w:bCs w:val="0"/>
          <w:kern w:val="2"/>
          <w:sz w:val="24"/>
          <w:szCs w:val="24"/>
          <w:lang w:val="en-US" w:eastAsia="zh-CN" w:bidi="ar-SA"/>
        </w:rPr>
        <w:t>、未成年人保护</w:t>
      </w:r>
      <w:r>
        <w:rPr>
          <w:rFonts w:hint="eastAsia" w:ascii="宋体" w:hAnsi="宋体" w:eastAsia="宋体" w:cs="宋体"/>
          <w:b w:val="0"/>
          <w:bCs w:val="0"/>
          <w:kern w:val="2"/>
          <w:sz w:val="24"/>
          <w:szCs w:val="24"/>
          <w:vertAlign w:val="superscript"/>
          <w:lang w:val="en-US" w:eastAsia="zh-CN" w:bidi="ar-SA"/>
        </w:rPr>
        <w:footnoteReference w:id="4"/>
      </w:r>
      <w:r>
        <w:rPr>
          <w:rFonts w:hint="eastAsia" w:ascii="宋体" w:hAnsi="宋体" w:eastAsia="宋体" w:cs="宋体"/>
          <w:b w:val="0"/>
          <w:bCs w:val="0"/>
          <w:kern w:val="2"/>
          <w:sz w:val="24"/>
          <w:szCs w:val="24"/>
          <w:lang w:val="en-US" w:eastAsia="zh-CN" w:bidi="ar-SA"/>
        </w:rPr>
        <w:t>、军人地位和权益保障</w:t>
      </w:r>
      <w:r>
        <w:rPr>
          <w:rFonts w:hint="eastAsia" w:ascii="宋体" w:hAnsi="宋体" w:eastAsia="宋体" w:cs="宋体"/>
          <w:b w:val="0"/>
          <w:bCs w:val="0"/>
          <w:kern w:val="2"/>
          <w:sz w:val="24"/>
          <w:szCs w:val="24"/>
          <w:vertAlign w:val="superscript"/>
          <w:lang w:val="en-US" w:eastAsia="zh-CN" w:bidi="ar-SA"/>
        </w:rPr>
        <w:footnoteReference w:id="5"/>
      </w:r>
      <w:r>
        <w:rPr>
          <w:rFonts w:hint="eastAsia" w:ascii="宋体" w:hAnsi="宋体" w:eastAsia="宋体" w:cs="宋体"/>
          <w:b w:val="0"/>
          <w:bCs w:val="0"/>
          <w:kern w:val="2"/>
          <w:sz w:val="24"/>
          <w:szCs w:val="24"/>
          <w:lang w:val="en-US" w:eastAsia="zh-CN" w:bidi="ar-SA"/>
        </w:rPr>
        <w:t>、安全生产</w:t>
      </w:r>
      <w:r>
        <w:rPr>
          <w:rFonts w:hint="eastAsia" w:ascii="宋体" w:hAnsi="宋体" w:eastAsia="宋体" w:cs="宋体"/>
          <w:b w:val="0"/>
          <w:bCs w:val="0"/>
          <w:kern w:val="2"/>
          <w:sz w:val="24"/>
          <w:szCs w:val="24"/>
          <w:vertAlign w:val="superscript"/>
          <w:lang w:val="en-US" w:eastAsia="zh-CN" w:bidi="ar-SA"/>
        </w:rPr>
        <w:footnoteReference w:id="6"/>
      </w:r>
      <w:r>
        <w:rPr>
          <w:rFonts w:hint="eastAsia" w:ascii="宋体" w:hAnsi="宋体" w:eastAsia="宋体" w:cs="宋体"/>
          <w:b w:val="0"/>
          <w:bCs w:val="0"/>
          <w:kern w:val="2"/>
          <w:sz w:val="24"/>
          <w:szCs w:val="24"/>
          <w:lang w:val="en-US" w:eastAsia="zh-CN" w:bidi="ar-SA"/>
        </w:rPr>
        <w:t>、个人信息保护</w:t>
      </w:r>
      <w:r>
        <w:rPr>
          <w:rFonts w:hint="eastAsia" w:ascii="宋体" w:hAnsi="宋体" w:eastAsia="宋体" w:cs="宋体"/>
          <w:b w:val="0"/>
          <w:bCs w:val="0"/>
          <w:kern w:val="2"/>
          <w:sz w:val="24"/>
          <w:szCs w:val="24"/>
          <w:vertAlign w:val="superscript"/>
          <w:lang w:val="en-US" w:eastAsia="zh-CN" w:bidi="ar-SA"/>
        </w:rPr>
        <w:footnoteReference w:id="7"/>
      </w:r>
      <w:r>
        <w:rPr>
          <w:rFonts w:hint="eastAsia" w:ascii="宋体" w:hAnsi="宋体" w:eastAsia="宋体" w:cs="宋体"/>
          <w:b w:val="0"/>
          <w:bCs w:val="0"/>
          <w:kern w:val="2"/>
          <w:sz w:val="24"/>
          <w:szCs w:val="24"/>
          <w:lang w:val="en-US" w:eastAsia="zh-CN" w:bidi="ar-SA"/>
        </w:rPr>
        <w:t>、反垄断</w:t>
      </w:r>
      <w:r>
        <w:rPr>
          <w:rFonts w:hint="eastAsia" w:ascii="宋体" w:hAnsi="宋体" w:eastAsia="宋体" w:cs="宋体"/>
          <w:b w:val="0"/>
          <w:bCs w:val="0"/>
          <w:kern w:val="2"/>
          <w:sz w:val="24"/>
          <w:szCs w:val="24"/>
          <w:vertAlign w:val="superscript"/>
          <w:lang w:val="en-US" w:eastAsia="zh-CN" w:bidi="ar-SA"/>
        </w:rPr>
        <w:footnoteReference w:id="8"/>
      </w:r>
      <w:r>
        <w:rPr>
          <w:rFonts w:hint="eastAsia" w:ascii="宋体" w:hAnsi="宋体" w:eastAsia="宋体" w:cs="宋体"/>
          <w:b w:val="0"/>
          <w:bCs w:val="0"/>
          <w:kern w:val="2"/>
          <w:sz w:val="24"/>
          <w:szCs w:val="24"/>
          <w:lang w:val="en-US" w:eastAsia="zh-CN" w:bidi="ar-SA"/>
        </w:rPr>
        <w:t>、反电信网络诈骗</w:t>
      </w:r>
      <w:r>
        <w:rPr>
          <w:rFonts w:hint="eastAsia" w:ascii="宋体" w:hAnsi="宋体" w:eastAsia="宋体" w:cs="宋体"/>
          <w:b w:val="0"/>
          <w:bCs w:val="0"/>
          <w:kern w:val="2"/>
          <w:sz w:val="24"/>
          <w:szCs w:val="24"/>
          <w:vertAlign w:val="superscript"/>
          <w:lang w:val="en-US" w:eastAsia="zh-CN" w:bidi="ar-SA"/>
        </w:rPr>
        <w:footnoteReference w:id="9"/>
      </w:r>
      <w:r>
        <w:rPr>
          <w:rFonts w:hint="eastAsia" w:ascii="宋体" w:hAnsi="宋体" w:eastAsia="宋体" w:cs="宋体"/>
          <w:b w:val="0"/>
          <w:bCs w:val="0"/>
          <w:kern w:val="2"/>
          <w:sz w:val="24"/>
          <w:szCs w:val="24"/>
          <w:lang w:val="en-US" w:eastAsia="zh-CN" w:bidi="ar-SA"/>
        </w:rPr>
        <w:t>、农产品质量安全</w:t>
      </w:r>
      <w:r>
        <w:rPr>
          <w:rFonts w:hint="eastAsia" w:ascii="宋体" w:hAnsi="宋体" w:eastAsia="宋体" w:cs="宋体"/>
          <w:b w:val="0"/>
          <w:bCs w:val="0"/>
          <w:kern w:val="2"/>
          <w:sz w:val="24"/>
          <w:szCs w:val="24"/>
          <w:vertAlign w:val="superscript"/>
          <w:lang w:val="en-US" w:eastAsia="zh-CN" w:bidi="ar-SA"/>
        </w:rPr>
        <w:footnoteReference w:id="10"/>
      </w:r>
      <w:r>
        <w:rPr>
          <w:rFonts w:hint="eastAsia" w:ascii="宋体" w:hAnsi="宋体" w:eastAsia="宋体" w:cs="宋体"/>
          <w:b w:val="0"/>
          <w:bCs w:val="0"/>
          <w:kern w:val="2"/>
          <w:sz w:val="24"/>
          <w:szCs w:val="24"/>
          <w:lang w:val="en-US" w:eastAsia="zh-CN" w:bidi="ar-SA"/>
        </w:rPr>
        <w:t>、妇女权益保障</w:t>
      </w:r>
      <w:r>
        <w:rPr>
          <w:rFonts w:hint="eastAsia" w:ascii="宋体" w:hAnsi="宋体" w:eastAsia="宋体" w:cs="宋体"/>
          <w:b w:val="0"/>
          <w:bCs w:val="0"/>
          <w:kern w:val="2"/>
          <w:sz w:val="24"/>
          <w:szCs w:val="24"/>
          <w:vertAlign w:val="superscript"/>
          <w:lang w:val="en-US" w:eastAsia="zh-CN" w:bidi="ar-SA"/>
        </w:rPr>
        <w:footnoteReference w:id="11"/>
      </w:r>
      <w:r>
        <w:rPr>
          <w:rFonts w:hint="eastAsia" w:ascii="宋体" w:hAnsi="宋体" w:eastAsia="宋体" w:cs="宋体"/>
          <w:b w:val="0"/>
          <w:bCs w:val="0"/>
          <w:kern w:val="2"/>
          <w:sz w:val="24"/>
          <w:szCs w:val="24"/>
          <w:lang w:val="en-US" w:eastAsia="zh-CN" w:bidi="ar-SA"/>
        </w:rPr>
        <w:t>、无障碍环境建设</w:t>
      </w:r>
      <w:r>
        <w:rPr>
          <w:rFonts w:hint="eastAsia" w:ascii="宋体" w:hAnsi="宋体" w:eastAsia="宋体" w:cs="宋体"/>
          <w:b w:val="0"/>
          <w:bCs w:val="0"/>
          <w:kern w:val="2"/>
          <w:sz w:val="24"/>
          <w:szCs w:val="24"/>
          <w:vertAlign w:val="superscript"/>
          <w:lang w:val="en-US" w:eastAsia="zh-CN" w:bidi="ar-SA"/>
        </w:rPr>
        <w:footnoteReference w:id="12"/>
      </w:r>
      <w:r>
        <w:rPr>
          <w:rFonts w:hint="eastAsia" w:ascii="宋体" w:hAnsi="宋体" w:eastAsia="宋体" w:cs="宋体"/>
          <w:b w:val="0"/>
          <w:bCs w:val="0"/>
          <w:kern w:val="2"/>
          <w:sz w:val="24"/>
          <w:szCs w:val="24"/>
          <w:lang w:val="en-US" w:eastAsia="zh-CN" w:bidi="ar-SA"/>
        </w:rPr>
        <w:t>等十几个领域，并有不断扩大的趋势。而民事公益诉讼的诉讼主体，既有法律规定的机关和有关组织，亦有检察机关。关于民事公益诉讼的启动条件、管辖以及程序等内容，《人民检察院公益诉讼办案规则》</w:t>
      </w:r>
      <w:r>
        <w:rPr>
          <w:rFonts w:hint="eastAsia" w:ascii="宋体" w:hAnsi="宋体" w:eastAsia="宋体" w:cs="宋体"/>
          <w:b w:val="0"/>
          <w:bCs w:val="0"/>
          <w:kern w:val="2"/>
          <w:sz w:val="24"/>
          <w:szCs w:val="24"/>
          <w:vertAlign w:val="superscript"/>
          <w:lang w:val="en-US" w:eastAsia="zh-CN" w:bidi="ar-SA"/>
        </w:rPr>
        <w:footnoteReference w:id="13"/>
      </w:r>
      <w:r>
        <w:rPr>
          <w:rFonts w:hint="eastAsia" w:ascii="宋体" w:hAnsi="宋体" w:eastAsia="宋体" w:cs="宋体"/>
          <w:b w:val="0"/>
          <w:bCs w:val="0"/>
          <w:kern w:val="2"/>
          <w:sz w:val="24"/>
          <w:szCs w:val="24"/>
          <w:lang w:val="en-US" w:eastAsia="zh-CN" w:bidi="ar-SA"/>
        </w:rPr>
        <w:t>作出了相应的规范。主要的案件办理程序为，发现线索——初步调查——立案——诉前程序（公告）——起诉或终结案件决定。而具体的环节，如证据的审查与认定，相关法律文书的送达等均适用《</w:t>
      </w:r>
      <w:r>
        <w:rPr>
          <w:rFonts w:hint="eastAsia" w:ascii="宋体" w:hAnsi="宋体" w:cs="宋体"/>
          <w:b w:val="0"/>
          <w:bCs w:val="0"/>
          <w:kern w:val="2"/>
          <w:sz w:val="24"/>
          <w:szCs w:val="24"/>
          <w:lang w:val="en-US" w:eastAsia="zh-CN" w:bidi="ar-SA"/>
        </w:rPr>
        <w:t>中华人民共和国</w:t>
      </w:r>
      <w:r>
        <w:rPr>
          <w:rFonts w:hint="eastAsia" w:ascii="宋体" w:hAnsi="宋体" w:eastAsia="宋体" w:cs="宋体"/>
          <w:b w:val="0"/>
          <w:bCs w:val="0"/>
          <w:kern w:val="2"/>
          <w:sz w:val="24"/>
          <w:szCs w:val="24"/>
          <w:lang w:val="en-US" w:eastAsia="zh-CN" w:bidi="ar-SA"/>
        </w:rPr>
        <w:t>民事诉讼法》以及相关的司法解释等法律法规的规定。</w:t>
      </w:r>
    </w:p>
    <w:p>
      <w:pPr>
        <w:keepNext w:val="0"/>
        <w:keepLines w:val="0"/>
        <w:pageBreakBefore w:val="0"/>
        <w:widowControl/>
        <w:kinsoku/>
        <w:wordWrap/>
        <w:overflowPunct/>
        <w:topLinePunct w:val="0"/>
        <w:autoSpaceDE/>
        <w:autoSpaceDN/>
        <w:bidi w:val="0"/>
        <w:adjustRightInd/>
        <w:snapToGrid/>
        <w:spacing w:line="360" w:lineRule="auto"/>
        <w:ind w:left="0" w:leftChars="0" w:firstLine="480" w:firstLineChars="200"/>
        <w:contextualSpacing/>
        <w:textAlignment w:val="auto"/>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自内地检察公益诉讼制度确立的6年时间里，全国检察机关共办理各类民事公益诉讼案件</w:t>
      </w:r>
      <w:r>
        <w:rPr>
          <w:rFonts w:hint="eastAsia" w:ascii="宋体" w:hAnsi="宋体" w:cs="宋体"/>
          <w:b w:val="0"/>
          <w:bCs w:val="0"/>
          <w:kern w:val="2"/>
          <w:sz w:val="24"/>
          <w:szCs w:val="24"/>
          <w:lang w:val="en-US" w:eastAsia="zh-CN" w:bidi="ar-SA"/>
        </w:rPr>
        <w:t>6.5万件，案件覆盖了生态环境保护、英烈保护、个人信息保护等多个</w:t>
      </w:r>
      <w:r>
        <w:rPr>
          <w:rFonts w:hint="eastAsia" w:ascii="宋体" w:hAnsi="宋体" w:eastAsia="宋体" w:cs="宋体"/>
          <w:b w:val="0"/>
          <w:bCs w:val="0"/>
          <w:kern w:val="2"/>
          <w:sz w:val="24"/>
          <w:szCs w:val="24"/>
          <w:lang w:val="en-US" w:eastAsia="zh-CN" w:bidi="ar-SA"/>
        </w:rPr>
        <w:t>领域，主要以办理生态环境与资源保护以及食药消费领域民事公益诉讼案件为主。</w:t>
      </w:r>
    </w:p>
    <w:p>
      <w:pPr>
        <w:keepNext w:val="0"/>
        <w:keepLines w:val="0"/>
        <w:pageBreakBefore w:val="0"/>
        <w:widowControl/>
        <w:kinsoku/>
        <w:wordWrap/>
        <w:overflowPunct/>
        <w:topLinePunct w:val="0"/>
        <w:autoSpaceDE/>
        <w:autoSpaceDN/>
        <w:bidi w:val="0"/>
        <w:adjustRightInd/>
        <w:snapToGrid/>
        <w:spacing w:line="360" w:lineRule="auto"/>
        <w:ind w:firstLine="560" w:firstLineChars="200"/>
        <w:rPr>
          <w:rFonts w:hint="default" w:ascii="黑体" w:hAnsi="黑体" w:eastAsia="黑体" w:cs="黑体"/>
          <w:sz w:val="28"/>
          <w:szCs w:val="28"/>
          <w:lang w:val="en-US"/>
        </w:rPr>
      </w:pPr>
      <w:r>
        <w:rPr>
          <w:rFonts w:hint="eastAsia" w:ascii="黑体" w:hAnsi="黑体" w:eastAsia="黑体" w:cs="黑体"/>
          <w:sz w:val="28"/>
          <w:szCs w:val="28"/>
        </w:rPr>
        <w:t>（二）香港的民事公益</w:t>
      </w:r>
      <w:r>
        <w:rPr>
          <w:rFonts w:hint="eastAsia" w:ascii="黑体" w:hAnsi="黑体" w:eastAsia="黑体" w:cs="黑体"/>
          <w:sz w:val="28"/>
          <w:szCs w:val="28"/>
          <w:lang w:val="en-US" w:eastAsia="zh-CN"/>
        </w:rPr>
        <w:t>属性诉讼</w:t>
      </w:r>
    </w:p>
    <w:p>
      <w:pPr>
        <w:pStyle w:val="7"/>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360" w:lineRule="auto"/>
        <w:ind w:left="0" w:leftChars="0" w:firstLine="480" w:firstLineChars="200"/>
        <w:contextualSpacing/>
        <w:textAlignment w:val="auto"/>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香港的法律体系主要是沿用了英美法系的传统。自1997年7月中国对香港恢复行使主权之后，香港的立法不断完善，公民权利保护体系亦日渐完整。在实体法方面，《</w:t>
      </w:r>
      <w:r>
        <w:rPr>
          <w:rFonts w:hint="eastAsia" w:ascii="宋体" w:hAnsi="宋体" w:eastAsia="宋体" w:cs="宋体"/>
          <w:b w:val="0"/>
          <w:bCs w:val="0"/>
          <w:kern w:val="2"/>
          <w:sz w:val="24"/>
          <w:szCs w:val="24"/>
          <w:lang w:val="en-US" w:eastAsia="zh-CN" w:bidi="ar-SA"/>
        </w:rPr>
        <w:fldChar w:fldCharType="begin"/>
      </w:r>
      <w:r>
        <w:rPr>
          <w:rFonts w:hint="eastAsia" w:ascii="宋体" w:hAnsi="宋体" w:eastAsia="宋体" w:cs="宋体"/>
          <w:b w:val="0"/>
          <w:bCs w:val="0"/>
          <w:kern w:val="2"/>
          <w:sz w:val="24"/>
          <w:szCs w:val="24"/>
          <w:lang w:val="en-US" w:eastAsia="zh-CN" w:bidi="ar-SA"/>
        </w:rPr>
        <w:instrText xml:space="preserve"> HYPERLINK "http://gfggi66f6a8ad06ba47d9sx6uf6kfbuowx6bnq.fbch.oca.swupl.edu.cn/chl/5625aa4f893e0672bdfb.html?way=textSlc" \l "tiao_0" \t "http://gfggi66f6a8ad06ba47d9sx6uf6kfbuowx6bnq.fbch.oca.swupl.edu.cn/qikan/_blank" </w:instrText>
      </w:r>
      <w:r>
        <w:rPr>
          <w:rFonts w:hint="eastAsia" w:ascii="宋体" w:hAnsi="宋体" w:eastAsia="宋体" w:cs="宋体"/>
          <w:b w:val="0"/>
          <w:bCs w:val="0"/>
          <w:kern w:val="2"/>
          <w:sz w:val="24"/>
          <w:szCs w:val="24"/>
          <w:lang w:val="en-US" w:eastAsia="zh-CN" w:bidi="ar-SA"/>
        </w:rPr>
        <w:fldChar w:fldCharType="separate"/>
      </w:r>
      <w:r>
        <w:rPr>
          <w:rFonts w:hint="eastAsia" w:ascii="宋体" w:hAnsi="宋体" w:eastAsia="宋体" w:cs="宋体"/>
          <w:b w:val="0"/>
          <w:bCs w:val="0"/>
          <w:kern w:val="2"/>
          <w:sz w:val="24"/>
          <w:szCs w:val="24"/>
          <w:lang w:val="en-US" w:eastAsia="zh-CN" w:bidi="ar-SA"/>
        </w:rPr>
        <w:t>香港特别行政区基本法</w:t>
      </w:r>
      <w:r>
        <w:rPr>
          <w:rFonts w:hint="eastAsia" w:ascii="宋体" w:hAnsi="宋体" w:eastAsia="宋体" w:cs="宋体"/>
          <w:b w:val="0"/>
          <w:bCs w:val="0"/>
          <w:kern w:val="2"/>
          <w:sz w:val="24"/>
          <w:szCs w:val="24"/>
          <w:lang w:val="en-US" w:eastAsia="zh-CN" w:bidi="ar-SA"/>
        </w:rPr>
        <w:fldChar w:fldCharType="end"/>
      </w:r>
      <w:r>
        <w:rPr>
          <w:rFonts w:hint="eastAsia" w:ascii="宋体" w:hAnsi="宋体" w:eastAsia="宋体" w:cs="宋体"/>
          <w:b w:val="0"/>
          <w:bCs w:val="0"/>
          <w:kern w:val="2"/>
          <w:sz w:val="24"/>
          <w:szCs w:val="24"/>
          <w:lang w:val="en-US" w:eastAsia="zh-CN" w:bidi="ar-SA"/>
        </w:rPr>
        <w:t>》（以下简称《香港基本法》）是香港地区的基本法律，该法第三十九条明确规定：“《公民权利和政治权利国际公约》、《经济、社会与文化权利的国际公约》和《国际劳工公约》适用于香港的有关规定继续有效，通过香港特别行政区的法律予以实施。”而《香港基本法》《</w:t>
      </w:r>
      <w:r>
        <w:rPr>
          <w:rFonts w:hint="eastAsia" w:ascii="宋体" w:hAnsi="宋体" w:eastAsia="宋体" w:cs="宋体"/>
          <w:b w:val="0"/>
          <w:bCs w:val="0"/>
          <w:kern w:val="2"/>
          <w:sz w:val="24"/>
          <w:szCs w:val="24"/>
          <w:lang w:val="en-US" w:eastAsia="zh-CN" w:bidi="ar-SA"/>
        </w:rPr>
        <w:fldChar w:fldCharType="begin"/>
      </w:r>
      <w:r>
        <w:rPr>
          <w:rFonts w:hint="eastAsia" w:ascii="宋体" w:hAnsi="宋体" w:eastAsia="宋体" w:cs="宋体"/>
          <w:b w:val="0"/>
          <w:bCs w:val="0"/>
          <w:kern w:val="2"/>
          <w:sz w:val="24"/>
          <w:szCs w:val="24"/>
          <w:lang w:val="en-US" w:eastAsia="zh-CN" w:bidi="ar-SA"/>
        </w:rPr>
        <w:instrText xml:space="preserve"> HYPERLINK "http://gfggi66f6a8ad06ba47d9sx6uf6kfbuowx6bnq.fbch.oca.swupl.edu.cn/eagn/95fe0e23403a68540ec15104374c0026bdfb.html?way=textSlc" \l "tiao_0" \t "http://gfggi66f6a8ad06ba47d9sx6uf6kfbuowx6bnq.fbch.oca.swupl.edu.cn/qikan/_blank" </w:instrText>
      </w:r>
      <w:r>
        <w:rPr>
          <w:rFonts w:hint="eastAsia" w:ascii="宋体" w:hAnsi="宋体" w:eastAsia="宋体" w:cs="宋体"/>
          <w:b w:val="0"/>
          <w:bCs w:val="0"/>
          <w:kern w:val="2"/>
          <w:sz w:val="24"/>
          <w:szCs w:val="24"/>
          <w:lang w:val="en-US" w:eastAsia="zh-CN" w:bidi="ar-SA"/>
        </w:rPr>
        <w:fldChar w:fldCharType="separate"/>
      </w:r>
      <w:r>
        <w:rPr>
          <w:rFonts w:hint="eastAsia" w:ascii="宋体" w:hAnsi="宋体" w:eastAsia="宋体" w:cs="宋体"/>
          <w:b w:val="0"/>
          <w:bCs w:val="0"/>
          <w:kern w:val="2"/>
          <w:sz w:val="24"/>
          <w:szCs w:val="24"/>
          <w:lang w:val="en-US" w:eastAsia="zh-CN" w:bidi="ar-SA"/>
        </w:rPr>
        <w:t>公民权利和政治权利国际公约</w:t>
      </w:r>
      <w:r>
        <w:rPr>
          <w:rFonts w:hint="eastAsia" w:ascii="宋体" w:hAnsi="宋体" w:eastAsia="宋体" w:cs="宋体"/>
          <w:b w:val="0"/>
          <w:bCs w:val="0"/>
          <w:kern w:val="2"/>
          <w:sz w:val="24"/>
          <w:szCs w:val="24"/>
          <w:lang w:val="en-US" w:eastAsia="zh-CN" w:bidi="ar-SA"/>
        </w:rPr>
        <w:fldChar w:fldCharType="end"/>
      </w:r>
      <w:r>
        <w:rPr>
          <w:rFonts w:hint="eastAsia" w:ascii="宋体" w:hAnsi="宋体" w:eastAsia="宋体" w:cs="宋体"/>
          <w:b w:val="0"/>
          <w:bCs w:val="0"/>
          <w:kern w:val="2"/>
          <w:sz w:val="24"/>
          <w:szCs w:val="24"/>
          <w:lang w:val="en-US" w:eastAsia="zh-CN" w:bidi="ar-SA"/>
        </w:rPr>
        <w:t>》《经济、社会与文化权利的国际公约》和《国际劳工公约》作为香港居民基本权利包括政治、经济、社会、文化、劳动权利等在内的保障条款，是当地民事公益诉讼制度启动的基础。在程序方面，香港并没有成文的民事诉讼法，其主要承袭英美法系对民事诉讼的一些政策、程序以及对执行采取的手段，构成民事诉讼规则，主要包括《高等法院条例》《高等法院规则》《地方法院条例》《地方法院民事诉讼（暂行）规程》等。上述规则对民事司法管辖权、证据的认定、民事诉讼程序的受理、办理过程等进行了相应的规定。民事公益诉讼作为民事诉讼的一种类型，在香港地区，需要按照案件的具体情况适用上述民事诉讼程序规则。对于涉及公共利益的问题如何启动诉讼的程序，由于被质疑的行为主要是政府部门或者公共机构的行为等，因此申请人需要经过司法覆核，即需要经过许可申请——实质性辩论的阶段，若任何一方对覆核的案件结果不服，都可以上诉至上诉法院；若再不服，可以上诉至终审法院。</w:t>
      </w:r>
      <w:r>
        <w:rPr>
          <w:rFonts w:hint="eastAsia" w:ascii="宋体" w:hAnsi="宋体" w:eastAsia="宋体" w:cs="宋体"/>
          <w:b w:val="0"/>
          <w:bCs w:val="0"/>
          <w:kern w:val="2"/>
          <w:sz w:val="24"/>
          <w:szCs w:val="24"/>
          <w:vertAlign w:val="superscript"/>
          <w:lang w:val="en-US" w:eastAsia="zh-CN" w:bidi="ar-SA"/>
        </w:rPr>
        <w:footnoteReference w:id="14"/>
      </w:r>
    </w:p>
    <w:p>
      <w:pPr>
        <w:pStyle w:val="7"/>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360" w:lineRule="auto"/>
        <w:ind w:left="0" w:leftChars="0" w:firstLine="480" w:firstLineChars="200"/>
        <w:contextualSpacing/>
        <w:textAlignment w:val="auto"/>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至于香港地区的民事公益诉讼制度，目前暂未有法律法规对该制度进行明确定义，因此亦未有民事公益诉讼与行政公益诉讼的区分。但自1997年以来，香港确实办理了一系列具有公益性的诉讼案件，主要集中于环境保护、文化遗产保护、选举以及宪法问题等四个领域。其中，环境保护成为了最主要的主域，如保护维多利亚港的公益诉讼。</w:t>
      </w:r>
      <w:r>
        <w:rPr>
          <w:rFonts w:hint="eastAsia" w:ascii="宋体" w:hAnsi="宋体" w:eastAsia="宋体" w:cs="宋体"/>
          <w:b w:val="0"/>
          <w:bCs w:val="0"/>
          <w:kern w:val="2"/>
          <w:sz w:val="24"/>
          <w:szCs w:val="24"/>
          <w:vertAlign w:val="superscript"/>
          <w:lang w:val="en-US" w:eastAsia="zh-CN" w:bidi="ar-SA"/>
        </w:rPr>
        <w:footnoteReference w:id="15"/>
      </w:r>
      <w:r>
        <w:rPr>
          <w:rFonts w:hint="eastAsia" w:ascii="宋体" w:hAnsi="宋体" w:eastAsia="宋体" w:cs="宋体"/>
          <w:b w:val="0"/>
          <w:bCs w:val="0"/>
          <w:kern w:val="2"/>
          <w:sz w:val="24"/>
          <w:szCs w:val="24"/>
          <w:lang w:val="en-US" w:eastAsia="zh-CN" w:bidi="ar-SA"/>
        </w:rPr>
        <w:t>但该领域的公益诉讼案例更多的表现在社会团体起诉政府的诉讼。属于文化遗产保护的“皇后码头拆迁案”</w:t>
      </w:r>
      <w:r>
        <w:rPr>
          <w:rFonts w:hint="eastAsia" w:ascii="宋体" w:hAnsi="宋体" w:eastAsia="宋体" w:cs="宋体"/>
          <w:b w:val="0"/>
          <w:bCs w:val="0"/>
          <w:kern w:val="2"/>
          <w:sz w:val="24"/>
          <w:szCs w:val="24"/>
          <w:vertAlign w:val="superscript"/>
          <w:lang w:val="en-US" w:eastAsia="zh-CN" w:bidi="ar-SA"/>
        </w:rPr>
        <w:footnoteReference w:id="16"/>
      </w:r>
      <w:r>
        <w:rPr>
          <w:rFonts w:hint="eastAsia" w:ascii="宋体" w:hAnsi="宋体" w:eastAsia="宋体" w:cs="宋体"/>
          <w:b w:val="0"/>
          <w:bCs w:val="0"/>
          <w:kern w:val="2"/>
          <w:sz w:val="24"/>
          <w:szCs w:val="24"/>
          <w:lang w:val="en-US" w:eastAsia="zh-CN" w:bidi="ar-SA"/>
        </w:rPr>
        <w:t>，也与内地的公益诉讼性质不一致。但上述案件之所以均被公众认为是香港回归后公益诉讼制度的雏形是因为其所维护的核心利益确实是不特定多数人的公共利益。值得注意的是，在“皇后码头案”的报道中，败诉的本土行动者称不再上诉的原因是“上诉可能申请不到法律援助，两名上诉人经济能力有限”</w:t>
      </w:r>
      <w:r>
        <w:rPr>
          <w:rFonts w:hint="eastAsia" w:ascii="宋体" w:hAnsi="宋体" w:eastAsia="宋体" w:cs="宋体"/>
          <w:b w:val="0"/>
          <w:bCs w:val="0"/>
          <w:kern w:val="2"/>
          <w:sz w:val="24"/>
          <w:szCs w:val="24"/>
          <w:vertAlign w:val="superscript"/>
          <w:lang w:val="en-US" w:eastAsia="zh-CN" w:bidi="ar-SA"/>
        </w:rPr>
        <w:footnoteReference w:id="17"/>
      </w:r>
      <w:r>
        <w:rPr>
          <w:rFonts w:hint="eastAsia" w:ascii="宋体" w:hAnsi="宋体" w:eastAsia="宋体" w:cs="宋体"/>
          <w:b w:val="0"/>
          <w:bCs w:val="0"/>
          <w:kern w:val="2"/>
          <w:sz w:val="24"/>
          <w:szCs w:val="24"/>
          <w:lang w:val="en-US" w:eastAsia="zh-CN" w:bidi="ar-SA"/>
        </w:rPr>
        <w:t>。而该原因可以引发我们的思考，对于这类与公益有关的案件，个人提起诉讼确实会陷入不仅限于经济上的困难，还包括调查取证、法律适用等多方面的困境。至于食药消费领域香港是否存在公益属性诉讼的问题，该类诉讼尽管在一定程度上具有公益属性，但因其起诉主体为私人或者系香港的行政机关，并未被香港认定为当地的“公益诉讼”，且由于香港政府对食药领域的监管十分严格，绝大多数的食药违法行为即被视为犯罪，由法院处以刑罚。</w:t>
      </w:r>
      <w:r>
        <w:rPr>
          <w:rFonts w:hint="eastAsia" w:ascii="宋体" w:hAnsi="宋体" w:eastAsia="宋体" w:cs="宋体"/>
          <w:b w:val="0"/>
          <w:bCs w:val="0"/>
          <w:kern w:val="2"/>
          <w:sz w:val="24"/>
          <w:szCs w:val="24"/>
          <w:vertAlign w:val="superscript"/>
          <w:lang w:val="en-US" w:eastAsia="zh-CN" w:bidi="ar-SA"/>
        </w:rPr>
        <w:footnoteReference w:id="18"/>
      </w:r>
      <w:r>
        <w:rPr>
          <w:rFonts w:hint="eastAsia" w:ascii="宋体" w:hAnsi="宋体" w:eastAsia="宋体" w:cs="宋体"/>
          <w:b w:val="0"/>
          <w:bCs w:val="0"/>
          <w:kern w:val="2"/>
          <w:sz w:val="24"/>
          <w:szCs w:val="24"/>
          <w:lang w:val="en-US" w:eastAsia="zh-CN" w:bidi="ar-SA"/>
        </w:rPr>
        <w:t>根据当地的《公众卫生及市政条例》与《食物安全条例》，香港食物环境卫生署会按实际情况检控违例者或向法庭申请封闭对市民健康构成即时危害的食物场所。另外，香港还设置了消费者委员会，其按照《消费者委员会条例》第5条</w:t>
      </w:r>
      <w:r>
        <w:rPr>
          <w:rFonts w:hint="eastAsia" w:ascii="宋体" w:hAnsi="宋体" w:eastAsia="宋体" w:cs="宋体"/>
          <w:b w:val="0"/>
          <w:bCs w:val="0"/>
          <w:kern w:val="2"/>
          <w:sz w:val="24"/>
          <w:szCs w:val="24"/>
          <w:lang w:val="en-US" w:eastAsia="zh-CN" w:bidi="ar-SA"/>
        </w:rPr>
        <w:footnoteReference w:id="19"/>
      </w:r>
      <w:r>
        <w:rPr>
          <w:rFonts w:hint="eastAsia" w:ascii="宋体" w:hAnsi="宋体" w:eastAsia="宋体" w:cs="宋体"/>
          <w:b w:val="0"/>
          <w:bCs w:val="0"/>
          <w:kern w:val="2"/>
          <w:sz w:val="24"/>
          <w:szCs w:val="24"/>
          <w:lang w:val="en-US" w:eastAsia="zh-CN" w:bidi="ar-SA"/>
        </w:rPr>
        <w:t>关于委员会的权利的规定，虽然它没有提起民事诉讼的资格，但它有“对货物及服务进行测试及检验，以及对不动产作出检查”的权利，即与诉讼有关的调查的权力。此外，在食药安全已涉及公共利益的时候，行政长官也可以给予消费者委员执行权力的指示。</w:t>
      </w:r>
      <w:r>
        <w:rPr>
          <w:rFonts w:hint="eastAsia" w:ascii="宋体" w:hAnsi="宋体" w:eastAsia="宋体" w:cs="宋体"/>
          <w:b w:val="0"/>
          <w:bCs w:val="0"/>
          <w:kern w:val="2"/>
          <w:sz w:val="24"/>
          <w:szCs w:val="24"/>
          <w:vertAlign w:val="superscript"/>
          <w:lang w:val="en-US" w:eastAsia="zh-CN" w:bidi="ar-SA"/>
        </w:rPr>
        <w:footnoteReference w:id="20"/>
      </w:r>
      <w:r>
        <w:rPr>
          <w:rFonts w:hint="eastAsia" w:ascii="宋体" w:hAnsi="宋体" w:eastAsia="宋体" w:cs="宋体"/>
          <w:b w:val="0"/>
          <w:bCs w:val="0"/>
          <w:kern w:val="2"/>
          <w:sz w:val="24"/>
          <w:szCs w:val="24"/>
          <w:lang w:val="en-US" w:eastAsia="zh-CN" w:bidi="ar-SA"/>
        </w:rPr>
        <w:t>值得关注点的是，为了解决如“皇后码头案”中出现的消费者个人起诉经济能力不足等问题，香港消费者委员会设立了消费者诉讼基金，向消费者提供经济援助即法律协助，帮助消费者通过司法途径寻求法律赔偿。</w:t>
      </w:r>
    </w:p>
    <w:p>
      <w:pPr>
        <w:pStyle w:val="7"/>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360" w:lineRule="auto"/>
        <w:ind w:left="0" w:leftChars="0" w:firstLine="480" w:firstLineChars="200"/>
        <w:contextualSpacing/>
        <w:textAlignment w:val="auto"/>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关于香港的检察机构，《香港基本法》第六十三条规定：“香港特别行政区律政司主管刑事检察工作，不受任何干涉。”一般认为，律政司是香港的“检察机关”，行使检察权。除了全权负责香港刑事案件的检控外，作为公众利益的维护者，它可以申请司法审查，维护公众的合法权益。另外，它还可以代表公共利益出庭参与审理涉及重大公益的案件。</w:t>
      </w:r>
      <w:r>
        <w:rPr>
          <w:rFonts w:hint="eastAsia" w:ascii="宋体" w:hAnsi="宋体" w:eastAsia="宋体" w:cs="宋体"/>
          <w:b w:val="0"/>
          <w:bCs w:val="0"/>
          <w:kern w:val="2"/>
          <w:sz w:val="24"/>
          <w:szCs w:val="24"/>
          <w:vertAlign w:val="superscript"/>
          <w:lang w:val="en-US" w:eastAsia="zh-CN" w:bidi="ar-SA"/>
        </w:rPr>
        <w:footnoteReference w:id="21"/>
      </w:r>
    </w:p>
    <w:p>
      <w:pPr>
        <w:keepNext w:val="0"/>
        <w:keepLines w:val="0"/>
        <w:pageBreakBefore w:val="0"/>
        <w:widowControl/>
        <w:kinsoku/>
        <w:wordWrap/>
        <w:overflowPunct/>
        <w:topLinePunct w:val="0"/>
        <w:autoSpaceDE/>
        <w:autoSpaceDN/>
        <w:bidi w:val="0"/>
        <w:adjustRightInd/>
        <w:snapToGrid/>
        <w:spacing w:line="360" w:lineRule="auto"/>
        <w:ind w:firstLine="560" w:firstLineChars="200"/>
        <w:rPr>
          <w:rFonts w:hint="default" w:ascii="黑体" w:hAnsi="黑体" w:eastAsia="黑体" w:cs="黑体"/>
          <w:bCs w:val="0"/>
          <w:kern w:val="2"/>
          <w:sz w:val="28"/>
          <w:szCs w:val="28"/>
          <w:lang w:val="en-US" w:eastAsia="zh-CN" w:bidi="ar-SA"/>
        </w:rPr>
      </w:pPr>
      <w:r>
        <w:rPr>
          <w:rFonts w:hint="eastAsia" w:ascii="黑体" w:hAnsi="黑体" w:eastAsia="黑体" w:cs="黑体"/>
          <w:bCs w:val="0"/>
          <w:kern w:val="2"/>
          <w:sz w:val="28"/>
          <w:szCs w:val="28"/>
          <w:lang w:val="en-US" w:eastAsia="zh-CN" w:bidi="ar-SA"/>
        </w:rPr>
        <w:t>（三）澳门的民众诉讼</w:t>
      </w:r>
    </w:p>
    <w:p>
      <w:pPr>
        <w:keepNext w:val="0"/>
        <w:keepLines w:val="0"/>
        <w:pageBreakBefore w:val="0"/>
        <w:widowControl/>
        <w:kinsoku/>
        <w:wordWrap/>
        <w:overflowPunct/>
        <w:topLinePunct w:val="0"/>
        <w:autoSpaceDE/>
        <w:autoSpaceDN/>
        <w:bidi w:val="0"/>
        <w:adjustRightInd/>
        <w:snapToGrid/>
        <w:spacing w:line="360" w:lineRule="auto"/>
        <w:ind w:left="0" w:leftChars="0" w:firstLine="480" w:firstLineChars="200"/>
        <w:contextualSpacing/>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虽然在澳门未有公益诉讼制度一说，但却有类似于内地的旨在维护大众利益的诉讼，即民众诉讼。该类诉讼的基础是《澳门特别行政区基本法》（以下简称《澳门基本法》），《澳门基本法》对澳门居民的基本权利进行了规定，是当地民众诉讼启动的基础。民众诉讼在《葡萄牙民事诉讼法典》</w:t>
      </w:r>
      <w:r>
        <w:rPr>
          <w:rFonts w:hint="eastAsia" w:ascii="宋体" w:hAnsi="宋体" w:eastAsia="宋体" w:cs="宋体"/>
          <w:b w:val="0"/>
          <w:bCs w:val="0"/>
          <w:kern w:val="2"/>
          <w:sz w:val="24"/>
          <w:szCs w:val="24"/>
          <w:vertAlign w:val="superscript"/>
          <w:lang w:val="en-US" w:eastAsia="zh-CN" w:bidi="ar-SA"/>
        </w:rPr>
        <w:footnoteReference w:id="22"/>
      </w:r>
      <w:r>
        <w:rPr>
          <w:rFonts w:hint="eastAsia" w:ascii="宋体" w:hAnsi="宋体" w:eastAsia="宋体" w:cs="宋体"/>
          <w:b w:val="0"/>
          <w:bCs w:val="0"/>
          <w:kern w:val="2"/>
          <w:sz w:val="24"/>
          <w:szCs w:val="24"/>
          <w:lang w:val="en-US" w:eastAsia="zh-CN" w:bidi="ar-SA"/>
        </w:rPr>
        <w:t>为蓝本的《澳门民事诉讼法典》中有</w:t>
      </w:r>
      <w:r>
        <w:rPr>
          <w:rFonts w:hint="eastAsia" w:ascii="宋体" w:hAnsi="宋体" w:cs="宋体"/>
          <w:b w:val="0"/>
          <w:bCs w:val="0"/>
          <w:kern w:val="2"/>
          <w:sz w:val="24"/>
          <w:szCs w:val="24"/>
          <w:lang w:val="en-US" w:eastAsia="zh-CN" w:bidi="ar-SA"/>
        </w:rPr>
        <w:t>相关的规定</w:t>
      </w:r>
      <w:r>
        <w:rPr>
          <w:rFonts w:hint="eastAsia" w:ascii="宋体" w:hAnsi="宋体" w:eastAsia="宋体" w:cs="宋体"/>
          <w:b w:val="0"/>
          <w:bCs w:val="0"/>
          <w:kern w:val="2"/>
          <w:sz w:val="24"/>
          <w:szCs w:val="24"/>
          <w:lang w:val="en-US" w:eastAsia="zh-CN" w:bidi="ar-SA"/>
        </w:rPr>
        <w:t>。《澳门民事诉讼法典》第59条规定“对于尤其旨在维护公共卫生、环境、生活质素、文化财产及公产，以及保障财货及劳务消费之诉讼或保全程序，任何享有公民权利及政治权利之居民，宗旨涉及有关利益之社团或财团，市政厅以及检察院，均有提起以及参与之正当性”。与《澳门民事诉讼法典》第58条“原告需在争议至实体关系中具有主体之正当性，但法律另外指明者除外”比较，第58条明显属于民事私益诉讼条款，即要求原被告间具有争议的实体关系，而第59条无疑是为了公益维护而存在的，体现了公益维护的正当性。澳门的民众诉讼启动条件与适用程序均应遵守《澳门民事诉讼法典》的规定。</w:t>
      </w:r>
    </w:p>
    <w:p>
      <w:pPr>
        <w:keepNext w:val="0"/>
        <w:keepLines w:val="0"/>
        <w:pageBreakBefore w:val="0"/>
        <w:widowControl/>
        <w:kinsoku/>
        <w:wordWrap/>
        <w:overflowPunct/>
        <w:topLinePunct w:val="0"/>
        <w:autoSpaceDE/>
        <w:autoSpaceDN/>
        <w:bidi w:val="0"/>
        <w:adjustRightInd/>
        <w:snapToGrid/>
        <w:spacing w:line="360" w:lineRule="auto"/>
        <w:ind w:left="0" w:leftChars="0" w:firstLine="480" w:firstLineChars="200"/>
        <w:contextualSpacing/>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至于澳门检察机关的职权问题，澳门在1999年回归后于同年12月29日通过了以《澳门基本法》为基础制定的《司法组织纲要法》以及《司法官通则》，澳门首次设立了专门的检察机关，即澳门检察院。在民众诉讼中，澳门检察机关的职责体现在“维护合法权益上”，其主要参与方式为代表集体或公众，提起各类旨在保护公共环境、生活质量、文化财产的诉讼；其辅助参与方式有，参与其他公法人、公益法人等诉讼中作为一方当事人的涉及公共利益的司法程序。但在参与过程中，均要维护法院审判的独立性。</w:t>
      </w:r>
    </w:p>
    <w:p>
      <w:pPr>
        <w:keepNext w:val="0"/>
        <w:keepLines w:val="0"/>
        <w:pageBreakBefore w:val="0"/>
        <w:widowControl/>
        <w:kinsoku/>
        <w:wordWrap/>
        <w:overflowPunct/>
        <w:topLinePunct w:val="0"/>
        <w:autoSpaceDE/>
        <w:autoSpaceDN/>
        <w:bidi w:val="0"/>
        <w:adjustRightInd/>
        <w:snapToGrid/>
        <w:spacing w:line="360" w:lineRule="auto"/>
        <w:ind w:left="0" w:leftChars="0" w:firstLine="600" w:firstLineChars="200"/>
        <w:rPr>
          <w:rFonts w:hint="eastAsia" w:ascii="黑体" w:hAnsi="黑体" w:eastAsia="黑体" w:cs="黑体"/>
          <w:b w:val="0"/>
          <w:bCs w:val="0"/>
          <w:sz w:val="30"/>
          <w:szCs w:val="30"/>
        </w:rPr>
      </w:pPr>
      <w:r>
        <w:rPr>
          <w:rFonts w:hint="eastAsia" w:ascii="黑体" w:hAnsi="黑体" w:eastAsia="黑体" w:cs="黑体"/>
          <w:b w:val="0"/>
          <w:bCs w:val="0"/>
          <w:sz w:val="30"/>
          <w:szCs w:val="30"/>
        </w:rPr>
        <w:t>三、加强协作的可行性分析</w:t>
      </w:r>
    </w:p>
    <w:p>
      <w:pPr>
        <w:keepNext w:val="0"/>
        <w:keepLines w:val="0"/>
        <w:pageBreakBefore w:val="0"/>
        <w:widowControl/>
        <w:kinsoku/>
        <w:wordWrap/>
        <w:overflowPunct/>
        <w:topLinePunct w:val="0"/>
        <w:autoSpaceDE/>
        <w:autoSpaceDN/>
        <w:bidi w:val="0"/>
        <w:adjustRightInd/>
        <w:snapToGrid/>
        <w:spacing w:line="360" w:lineRule="auto"/>
        <w:ind w:left="0" w:leftChars="0" w:firstLine="480" w:firstLineChars="200"/>
        <w:contextualSpacing/>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由于内地、香港、澳门的法律制度及其承袭的法律传统不同，三地关于民事公益诉讼的规定存在许多不一致的地方。加强粤港澳三地民事公益诉讼协作，必然是一个求同存异、取长补短的过程。通过对内地、香港、澳门三地关于</w:t>
      </w:r>
      <w:r>
        <w:rPr>
          <w:rFonts w:hint="eastAsia" w:ascii="宋体" w:hAnsi="宋体" w:cs="宋体"/>
          <w:b w:val="0"/>
          <w:bCs w:val="0"/>
          <w:kern w:val="2"/>
          <w:sz w:val="24"/>
          <w:szCs w:val="24"/>
          <w:lang w:val="en-US" w:eastAsia="zh-CN" w:bidi="ar-SA"/>
        </w:rPr>
        <w:t>民事公益属性的</w:t>
      </w:r>
      <w:r>
        <w:rPr>
          <w:rFonts w:hint="eastAsia" w:ascii="宋体" w:hAnsi="宋体" w:eastAsia="宋体" w:cs="宋体"/>
          <w:b w:val="0"/>
          <w:bCs w:val="0"/>
          <w:kern w:val="2"/>
          <w:sz w:val="24"/>
          <w:szCs w:val="24"/>
          <w:lang w:val="en-US" w:eastAsia="zh-CN" w:bidi="ar-SA"/>
        </w:rPr>
        <w:t>公共利益保护法律制度</w:t>
      </w:r>
      <w:r>
        <w:rPr>
          <w:rFonts w:hint="eastAsia" w:ascii="宋体" w:hAnsi="宋体" w:cs="宋体"/>
          <w:b w:val="0"/>
          <w:bCs w:val="0"/>
          <w:kern w:val="2"/>
          <w:sz w:val="24"/>
          <w:szCs w:val="24"/>
          <w:lang w:val="en-US" w:eastAsia="zh-CN" w:bidi="ar-SA"/>
        </w:rPr>
        <w:t>进行</w:t>
      </w:r>
      <w:r>
        <w:rPr>
          <w:rFonts w:hint="eastAsia" w:ascii="宋体" w:hAnsi="宋体" w:eastAsia="宋体" w:cs="宋体"/>
          <w:b w:val="0"/>
          <w:bCs w:val="0"/>
          <w:kern w:val="2"/>
          <w:sz w:val="24"/>
          <w:szCs w:val="24"/>
          <w:lang w:val="en-US" w:eastAsia="zh-CN" w:bidi="ar-SA"/>
        </w:rPr>
        <w:t>比较分析研究，可以发现粤港澳三地对于公共利益保护的目的、范围、方法等方面，存在许多相通之处，三地法律对加强民事公益诉讼协作配合提供了一定的法律基础和空间。同时，自改革开放以来，粤港澳三地渐趋深入的民事司法区际协作实践及其形成的制度机制，亦为加强民事公益诉讼协作配合奠定了良好基础。最后，自</w:t>
      </w:r>
      <w:r>
        <w:rPr>
          <w:rFonts w:hint="default" w:ascii="宋体" w:hAnsi="宋体" w:eastAsia="宋体" w:cs="宋体"/>
          <w:b w:val="0"/>
          <w:bCs w:val="0"/>
          <w:kern w:val="2"/>
          <w:sz w:val="24"/>
          <w:szCs w:val="24"/>
          <w:lang w:val="en-US" w:eastAsia="zh-CN" w:bidi="ar-SA"/>
        </w:rPr>
        <w:t>2017</w:t>
      </w:r>
      <w:r>
        <w:rPr>
          <w:rFonts w:hint="eastAsia" w:ascii="宋体" w:hAnsi="宋体" w:eastAsia="宋体" w:cs="宋体"/>
          <w:b w:val="0"/>
          <w:bCs w:val="0"/>
          <w:kern w:val="2"/>
          <w:sz w:val="24"/>
          <w:szCs w:val="24"/>
          <w:lang w:val="en-US" w:eastAsia="zh-CN" w:bidi="ar-SA"/>
        </w:rPr>
        <w:t>年</w:t>
      </w:r>
      <w:r>
        <w:rPr>
          <w:rFonts w:hint="default" w:ascii="宋体" w:hAnsi="宋体" w:eastAsia="宋体" w:cs="宋体"/>
          <w:b w:val="0"/>
          <w:bCs w:val="0"/>
          <w:kern w:val="2"/>
          <w:sz w:val="24"/>
          <w:szCs w:val="24"/>
          <w:lang w:val="en-US" w:eastAsia="zh-CN" w:bidi="ar-SA"/>
        </w:rPr>
        <w:t>7</w:t>
      </w:r>
      <w:r>
        <w:rPr>
          <w:rFonts w:hint="eastAsia" w:ascii="宋体" w:hAnsi="宋体" w:eastAsia="宋体" w:cs="宋体"/>
          <w:b w:val="0"/>
          <w:bCs w:val="0"/>
          <w:kern w:val="2"/>
          <w:sz w:val="24"/>
          <w:szCs w:val="24"/>
          <w:lang w:val="en-US" w:eastAsia="zh-CN" w:bidi="ar-SA"/>
        </w:rPr>
        <w:t>月检察公益诉讼工作全面铺开以来，全国各地检察机关，尤其是粤港澳大湾区内广东省九市检察机关，在开展检察公益诉讼工作、办理各类</w:t>
      </w:r>
      <w:r>
        <w:rPr>
          <w:rFonts w:hint="eastAsia" w:ascii="宋体" w:hAnsi="宋体" w:cs="宋体"/>
          <w:b w:val="0"/>
          <w:bCs w:val="0"/>
          <w:kern w:val="2"/>
          <w:sz w:val="24"/>
          <w:szCs w:val="24"/>
          <w:lang w:val="en-US" w:eastAsia="zh-CN" w:bidi="ar-SA"/>
        </w:rPr>
        <w:t>检察</w:t>
      </w:r>
      <w:r>
        <w:rPr>
          <w:rFonts w:hint="eastAsia" w:ascii="宋体" w:hAnsi="宋体" w:eastAsia="宋体" w:cs="宋体"/>
          <w:b w:val="0"/>
          <w:bCs w:val="0"/>
          <w:kern w:val="2"/>
          <w:sz w:val="24"/>
          <w:szCs w:val="24"/>
          <w:lang w:val="en-US" w:eastAsia="zh-CN" w:bidi="ar-SA"/>
        </w:rPr>
        <w:t>民事公益诉讼案件中，在建立和加强不同检察机关之间、检察机关与其他行政机关、法定组织等协作配合等方面，做了很多有益的探索，为建立和完善粤港澳大湾区检察公益诉讼协作积累了经验基础。</w:t>
      </w:r>
    </w:p>
    <w:p>
      <w:pPr>
        <w:keepNext w:val="0"/>
        <w:keepLines w:val="0"/>
        <w:pageBreakBefore w:val="0"/>
        <w:widowControl/>
        <w:kinsoku/>
        <w:wordWrap/>
        <w:overflowPunct/>
        <w:topLinePunct w:val="0"/>
        <w:autoSpaceDE/>
        <w:autoSpaceDN/>
        <w:bidi w:val="0"/>
        <w:adjustRightInd/>
        <w:snapToGrid/>
        <w:spacing w:line="360" w:lineRule="auto"/>
        <w:ind w:firstLine="560" w:firstLineChars="200"/>
        <w:rPr>
          <w:rFonts w:hint="eastAsia" w:ascii="黑体" w:hAnsi="黑体" w:eastAsia="黑体" w:cs="黑体"/>
          <w:bCs w:val="0"/>
          <w:kern w:val="2"/>
          <w:sz w:val="28"/>
          <w:szCs w:val="28"/>
          <w:lang w:val="en-US" w:eastAsia="zh-CN" w:bidi="ar-SA"/>
        </w:rPr>
      </w:pPr>
      <w:r>
        <w:rPr>
          <w:rFonts w:hint="eastAsia" w:ascii="黑体" w:hAnsi="黑体" w:eastAsia="黑体" w:cs="黑体"/>
          <w:bCs w:val="0"/>
          <w:kern w:val="2"/>
          <w:sz w:val="28"/>
          <w:szCs w:val="28"/>
          <w:lang w:val="en-US" w:eastAsia="zh-CN" w:bidi="ar-SA"/>
        </w:rPr>
        <w:t>（一）思想认识基础</w:t>
      </w:r>
    </w:p>
    <w:p>
      <w:pPr>
        <w:keepNext w:val="0"/>
        <w:keepLines w:val="0"/>
        <w:pageBreakBefore w:val="0"/>
        <w:widowControl/>
        <w:kinsoku/>
        <w:wordWrap/>
        <w:overflowPunct/>
        <w:topLinePunct w:val="0"/>
        <w:autoSpaceDE/>
        <w:autoSpaceDN/>
        <w:bidi w:val="0"/>
        <w:adjustRightInd/>
        <w:snapToGrid/>
        <w:spacing w:line="360" w:lineRule="auto"/>
        <w:ind w:left="0" w:leftChars="0" w:firstLine="480" w:firstLineChars="200"/>
        <w:contextualSpacing/>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对公共利益的关注和保护，是人民生活摆脱贫困后，追求更加美好生活的必然要求。并且这种要求会随着经济社会发展、人民生活水平的提高而提高。粤港澳大湾区内地九市经济社会发展较好，人民生活水平改善较早，经过40多年改革开放后的生产、生活，人民对于美好生活的向往已经上升到一个新的高度，对于生态环境和资源保护等公共利益，已经在较为广泛的层面上达成共识。香港、澳门经济社会发展得更早，所在地域的自然资源更加稀缺，人们对于公益保护的共识更强，保护力度和水平更高。</w:t>
      </w:r>
    </w:p>
    <w:p>
      <w:pPr>
        <w:keepNext w:val="0"/>
        <w:keepLines w:val="0"/>
        <w:pageBreakBefore w:val="0"/>
        <w:widowControl/>
        <w:kinsoku/>
        <w:wordWrap/>
        <w:overflowPunct/>
        <w:topLinePunct w:val="0"/>
        <w:autoSpaceDE/>
        <w:autoSpaceDN/>
        <w:bidi w:val="0"/>
        <w:adjustRightInd/>
        <w:snapToGrid/>
        <w:spacing w:line="360" w:lineRule="auto"/>
        <w:ind w:left="0" w:leftChars="0" w:firstLine="480" w:firstLineChars="200"/>
        <w:contextualSpacing/>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在不同地域、不同法域的一体化过程中，不同的文化传统、思想认识、利益诉求等都是不利于一体化的因素。但是在公共利益保护方面，不论是粤港澳大湾区内地九市，还是港澳地区，都是最容易达成共识的方面。香港、澳门经济发展水平高，但是自然资源受地理条件限制，需要内地九市提供支持。内地九市在公益保护方面经验积累不足，可以学习借鉴港澳的先进经验。在粤港澳大湾区的法治一体化过程中，关于检察公益诉讼方面的协作首先达成一致，形成良好的协作机制具有良好的思想共识基础。</w:t>
      </w:r>
    </w:p>
    <w:p>
      <w:pPr>
        <w:keepNext w:val="0"/>
        <w:keepLines w:val="0"/>
        <w:pageBreakBefore w:val="0"/>
        <w:widowControl/>
        <w:kinsoku/>
        <w:wordWrap/>
        <w:overflowPunct/>
        <w:topLinePunct w:val="0"/>
        <w:autoSpaceDE/>
        <w:autoSpaceDN/>
        <w:bidi w:val="0"/>
        <w:adjustRightInd/>
        <w:snapToGrid/>
        <w:spacing w:line="360" w:lineRule="auto"/>
        <w:ind w:firstLine="560" w:firstLineChars="200"/>
        <w:rPr>
          <w:rFonts w:hint="eastAsia" w:ascii="黑体" w:hAnsi="黑体" w:eastAsia="黑体" w:cs="黑体"/>
          <w:bCs w:val="0"/>
          <w:kern w:val="2"/>
          <w:sz w:val="28"/>
          <w:szCs w:val="28"/>
          <w:lang w:val="en-US" w:eastAsia="zh-CN" w:bidi="ar-SA"/>
        </w:rPr>
      </w:pPr>
      <w:r>
        <w:rPr>
          <w:rFonts w:hint="eastAsia" w:ascii="黑体" w:hAnsi="黑体" w:eastAsia="黑体" w:cs="黑体"/>
          <w:bCs w:val="0"/>
          <w:kern w:val="2"/>
          <w:sz w:val="28"/>
          <w:szCs w:val="28"/>
          <w:lang w:val="en-US" w:eastAsia="zh-CN" w:bidi="ar-SA"/>
        </w:rPr>
        <w:t>（二）法律制度基础</w:t>
      </w:r>
    </w:p>
    <w:p>
      <w:pPr>
        <w:keepNext w:val="0"/>
        <w:keepLines w:val="0"/>
        <w:pageBreakBefore w:val="0"/>
        <w:widowControl/>
        <w:kinsoku/>
        <w:wordWrap/>
        <w:overflowPunct/>
        <w:topLinePunct w:val="0"/>
        <w:autoSpaceDE/>
        <w:autoSpaceDN/>
        <w:bidi w:val="0"/>
        <w:adjustRightInd/>
        <w:snapToGrid/>
        <w:spacing w:line="360" w:lineRule="auto"/>
        <w:ind w:left="0" w:leftChars="0" w:firstLine="480" w:firstLineChars="200"/>
        <w:contextualSpacing/>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香港基本法》第95条规定：“香港特别行政区可与全国其他地区的司法机关通过协商依法进行司法方面的联系和相互提供协助。”《澳门基本法》第93条规定：“澳门特别行政区可与全国其他地区的司法机关通过协商依法进行司法方面的联系和相互提供协助。”上述条款为三地的司法协助、司法联系提供了法律依据。具体到民事公益诉讼方面，经过上文分析，尽管香港、澳门未有法律条文对“民事公益诉讼制度”作出明确的定义或者规定，但澳门地区已有类似于内地的公益诉讼制度，而香港地区也有类似的司法实践。其中，三地在开展公益诉讼的工作中，具有以下相同之处：一是启动诉讼的原因即诉讼的目的均为“多数人利益”、“公共利益”；二是领域主要集中在环境保护等方面，其中内地与澳门在部分消费者的消费领域亦有重合之处；三是三地的检察机关均在诉讼中充当“公共利益的代表”角色，均在提起诉讼或者出庭等方面承担相应的维护公共利益的责任。四是所诉利益涉及到社会组织利益以及涉及该组织宗旨的，社会组织（团体）能成为起诉的主体。上述趋同之处为三地的民事公益诉讼协作组提供了可能，也为三地在该制度发展中结合地区实际实现“求异”发展提供了空间。</w:t>
      </w:r>
    </w:p>
    <w:tbl>
      <w:tblPr>
        <w:tblStyle w:val="1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99"/>
        <w:gridCol w:w="980"/>
        <w:gridCol w:w="1403"/>
        <w:gridCol w:w="1403"/>
        <w:gridCol w:w="1465"/>
        <w:gridCol w:w="287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2" w:hRule="atLeast"/>
        </w:trPr>
        <w:tc>
          <w:tcPr>
            <w:tcW w:w="0" w:type="auto"/>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contextualSpacing/>
              <w:jc w:val="center"/>
              <w:textAlignment w:val="auto"/>
              <w:rPr>
                <w:rFonts w:ascii="宋体" w:hAnsi="宋体" w:cs="宋体"/>
                <w:spacing w:val="-11"/>
                <w:sz w:val="18"/>
                <w:szCs w:val="18"/>
              </w:rPr>
            </w:pPr>
            <w:r>
              <w:rPr>
                <w:rFonts w:hint="eastAsia" w:ascii="宋体" w:hAnsi="宋体" w:cs="宋体"/>
                <w:spacing w:val="-11"/>
                <w:sz w:val="18"/>
                <w:szCs w:val="18"/>
              </w:rPr>
              <w:t>地区</w:t>
            </w:r>
          </w:p>
        </w:tc>
        <w:tc>
          <w:tcPr>
            <w:tcW w:w="0" w:type="auto"/>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contextualSpacing/>
              <w:jc w:val="center"/>
              <w:textAlignment w:val="auto"/>
              <w:rPr>
                <w:rFonts w:ascii="宋体" w:hAnsi="宋体" w:cs="宋体"/>
                <w:spacing w:val="-11"/>
                <w:sz w:val="18"/>
                <w:szCs w:val="18"/>
              </w:rPr>
            </w:pPr>
            <w:r>
              <w:rPr>
                <w:rFonts w:hint="eastAsia" w:ascii="宋体" w:hAnsi="宋体" w:cs="宋体"/>
                <w:spacing w:val="-11"/>
                <w:sz w:val="18"/>
                <w:szCs w:val="18"/>
              </w:rPr>
              <w:t>保护核心</w:t>
            </w:r>
          </w:p>
        </w:tc>
        <w:tc>
          <w:tcPr>
            <w:tcW w:w="0" w:type="auto"/>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contextualSpacing/>
              <w:jc w:val="center"/>
              <w:textAlignment w:val="auto"/>
              <w:rPr>
                <w:rFonts w:ascii="宋体" w:hAnsi="宋体" w:cs="宋体"/>
                <w:spacing w:val="-11"/>
                <w:sz w:val="18"/>
                <w:szCs w:val="18"/>
              </w:rPr>
            </w:pPr>
            <w:r>
              <w:rPr>
                <w:rFonts w:hint="eastAsia" w:ascii="宋体" w:hAnsi="宋体" w:cs="宋体"/>
                <w:spacing w:val="-11"/>
                <w:sz w:val="18"/>
                <w:szCs w:val="18"/>
              </w:rPr>
              <w:t>领域</w:t>
            </w:r>
          </w:p>
        </w:tc>
        <w:tc>
          <w:tcPr>
            <w:tcW w:w="0" w:type="auto"/>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contextualSpacing/>
              <w:jc w:val="center"/>
              <w:textAlignment w:val="auto"/>
              <w:rPr>
                <w:rFonts w:ascii="宋体" w:hAnsi="宋体" w:cs="宋体"/>
                <w:spacing w:val="-11"/>
                <w:sz w:val="18"/>
                <w:szCs w:val="18"/>
              </w:rPr>
            </w:pPr>
            <w:r>
              <w:rPr>
                <w:rFonts w:hint="eastAsia" w:ascii="宋体" w:hAnsi="宋体" w:cs="宋体"/>
                <w:spacing w:val="-11"/>
                <w:sz w:val="18"/>
                <w:szCs w:val="18"/>
              </w:rPr>
              <w:t>程序</w:t>
            </w:r>
          </w:p>
        </w:tc>
        <w:tc>
          <w:tcPr>
            <w:tcW w:w="0" w:type="auto"/>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contextualSpacing/>
              <w:jc w:val="center"/>
              <w:textAlignment w:val="auto"/>
              <w:rPr>
                <w:rFonts w:ascii="宋体" w:hAnsi="宋体" w:cs="宋体"/>
                <w:spacing w:val="-11"/>
                <w:sz w:val="18"/>
                <w:szCs w:val="18"/>
              </w:rPr>
            </w:pPr>
            <w:r>
              <w:rPr>
                <w:rFonts w:hint="eastAsia" w:ascii="宋体" w:hAnsi="宋体" w:cs="宋体"/>
                <w:spacing w:val="-11"/>
                <w:sz w:val="18"/>
                <w:szCs w:val="18"/>
              </w:rPr>
              <w:t>程序性法律规定</w:t>
            </w:r>
          </w:p>
        </w:tc>
        <w:tc>
          <w:tcPr>
            <w:tcW w:w="0" w:type="auto"/>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contextualSpacing/>
              <w:jc w:val="center"/>
              <w:textAlignment w:val="auto"/>
              <w:rPr>
                <w:rFonts w:ascii="宋体" w:hAnsi="宋体" w:cs="宋体"/>
                <w:spacing w:val="-11"/>
                <w:sz w:val="18"/>
                <w:szCs w:val="18"/>
              </w:rPr>
            </w:pPr>
            <w:r>
              <w:rPr>
                <w:rFonts w:hint="eastAsia" w:ascii="宋体" w:hAnsi="宋体" w:cs="宋体"/>
                <w:spacing w:val="-11"/>
                <w:sz w:val="18"/>
                <w:szCs w:val="18"/>
              </w:rPr>
              <w:t>启动主体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contextualSpacing/>
              <w:jc w:val="center"/>
              <w:textAlignment w:val="auto"/>
              <w:rPr>
                <w:rFonts w:ascii="宋体" w:hAnsi="宋体" w:cs="宋体"/>
                <w:spacing w:val="-11"/>
                <w:sz w:val="18"/>
                <w:szCs w:val="18"/>
              </w:rPr>
            </w:pPr>
            <w:r>
              <w:rPr>
                <w:rFonts w:hint="eastAsia" w:ascii="宋体" w:hAnsi="宋体" w:cs="宋体"/>
                <w:spacing w:val="-11"/>
                <w:sz w:val="18"/>
                <w:szCs w:val="18"/>
              </w:rPr>
              <w:t>内地</w:t>
            </w:r>
          </w:p>
        </w:tc>
        <w:tc>
          <w:tcPr>
            <w:tcW w:w="0" w:type="auto"/>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contextualSpacing/>
              <w:jc w:val="both"/>
              <w:textAlignment w:val="auto"/>
              <w:rPr>
                <w:rFonts w:ascii="宋体" w:hAnsi="宋体" w:cs="宋体"/>
                <w:spacing w:val="-11"/>
                <w:sz w:val="18"/>
                <w:szCs w:val="18"/>
              </w:rPr>
            </w:pPr>
            <w:r>
              <w:rPr>
                <w:rFonts w:hint="eastAsia" w:ascii="宋体" w:hAnsi="宋体" w:cs="宋体"/>
                <w:spacing w:val="-11"/>
                <w:sz w:val="18"/>
                <w:szCs w:val="18"/>
              </w:rPr>
              <w:t>维护社会公共利益、不特定多数人的合法权益</w:t>
            </w:r>
          </w:p>
        </w:tc>
        <w:tc>
          <w:tcPr>
            <w:tcW w:w="0" w:type="auto"/>
            <w:noWrap w:val="0"/>
            <w:vAlign w:val="top"/>
          </w:tcPr>
          <w:p>
            <w:pPr>
              <w:keepNext w:val="0"/>
              <w:keepLines w:val="0"/>
              <w:pageBreakBefore w:val="0"/>
              <w:widowControl/>
              <w:kinsoku/>
              <w:wordWrap/>
              <w:overflowPunct/>
              <w:topLinePunct w:val="0"/>
              <w:autoSpaceDE/>
              <w:autoSpaceDN/>
              <w:bidi w:val="0"/>
              <w:adjustRightInd/>
              <w:snapToGrid/>
              <w:spacing w:line="240" w:lineRule="auto"/>
              <w:ind w:left="0" w:leftChars="0"/>
              <w:contextualSpacing/>
              <w:textAlignment w:val="auto"/>
              <w:rPr>
                <w:rFonts w:ascii="宋体" w:hAnsi="宋体" w:cs="宋体"/>
                <w:spacing w:val="-11"/>
                <w:sz w:val="18"/>
                <w:szCs w:val="18"/>
              </w:rPr>
            </w:pPr>
            <w:r>
              <w:rPr>
                <w:rFonts w:hint="eastAsia" w:ascii="宋体" w:hAnsi="宋体" w:cs="宋体"/>
                <w:spacing w:val="-11"/>
                <w:sz w:val="18"/>
                <w:szCs w:val="18"/>
              </w:rPr>
              <w:t>污染环境、侵害众多消费者合法权益等、英烈保护、未成年人保护、个人信息保护等</w:t>
            </w:r>
          </w:p>
        </w:tc>
        <w:tc>
          <w:tcPr>
            <w:tcW w:w="0" w:type="auto"/>
            <w:noWrap w:val="0"/>
            <w:vAlign w:val="top"/>
          </w:tcPr>
          <w:p>
            <w:pPr>
              <w:keepNext w:val="0"/>
              <w:keepLines w:val="0"/>
              <w:pageBreakBefore w:val="0"/>
              <w:widowControl/>
              <w:kinsoku/>
              <w:wordWrap/>
              <w:overflowPunct/>
              <w:topLinePunct w:val="0"/>
              <w:autoSpaceDE/>
              <w:autoSpaceDN/>
              <w:bidi w:val="0"/>
              <w:adjustRightInd/>
              <w:snapToGrid/>
              <w:spacing w:line="240" w:lineRule="auto"/>
              <w:ind w:left="0" w:leftChars="0"/>
              <w:contextualSpacing/>
              <w:textAlignment w:val="auto"/>
              <w:rPr>
                <w:rFonts w:ascii="宋体" w:hAnsi="宋体" w:cs="宋体"/>
                <w:spacing w:val="-11"/>
                <w:sz w:val="18"/>
                <w:szCs w:val="18"/>
              </w:rPr>
            </w:pPr>
            <w:r>
              <w:rPr>
                <w:rFonts w:hint="eastAsia" w:ascii="宋体" w:hAnsi="宋体" w:cs="宋体"/>
                <w:spacing w:val="-11"/>
                <w:sz w:val="18"/>
                <w:szCs w:val="18"/>
              </w:rPr>
              <w:t>线索—初步调查——立案——诉前程序（公告）——起诉或终结案件决定</w:t>
            </w:r>
          </w:p>
        </w:tc>
        <w:tc>
          <w:tcPr>
            <w:tcW w:w="0" w:type="auto"/>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contextualSpacing/>
              <w:jc w:val="center"/>
              <w:textAlignment w:val="auto"/>
              <w:rPr>
                <w:rFonts w:ascii="宋体" w:hAnsi="宋体" w:cs="宋体"/>
                <w:spacing w:val="-11"/>
                <w:sz w:val="18"/>
                <w:szCs w:val="18"/>
              </w:rPr>
            </w:pPr>
            <w:r>
              <w:rPr>
                <w:rFonts w:hint="eastAsia" w:ascii="宋体" w:hAnsi="宋体" w:cs="宋体"/>
                <w:spacing w:val="-11"/>
                <w:sz w:val="18"/>
                <w:szCs w:val="18"/>
              </w:rPr>
              <w:t>《中华人民共和国民事诉讼法》等</w:t>
            </w:r>
          </w:p>
        </w:tc>
        <w:tc>
          <w:tcPr>
            <w:tcW w:w="0" w:type="auto"/>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contextualSpacing/>
              <w:jc w:val="both"/>
              <w:textAlignment w:val="auto"/>
              <w:rPr>
                <w:rFonts w:ascii="宋体" w:hAnsi="宋体" w:cs="宋体"/>
                <w:spacing w:val="-11"/>
                <w:sz w:val="18"/>
                <w:szCs w:val="18"/>
              </w:rPr>
            </w:pPr>
            <w:r>
              <w:rPr>
                <w:rFonts w:hint="eastAsia" w:ascii="宋体" w:hAnsi="宋体" w:cs="宋体"/>
                <w:spacing w:val="-11"/>
                <w:sz w:val="18"/>
                <w:szCs w:val="18"/>
              </w:rPr>
              <w:t>法律规定的机关和有关组织、检察机关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contextualSpacing/>
              <w:jc w:val="center"/>
              <w:textAlignment w:val="auto"/>
              <w:rPr>
                <w:rFonts w:ascii="宋体" w:hAnsi="宋体" w:cs="宋体"/>
                <w:spacing w:val="-11"/>
                <w:sz w:val="18"/>
                <w:szCs w:val="18"/>
              </w:rPr>
            </w:pPr>
            <w:r>
              <w:rPr>
                <w:rFonts w:hint="eastAsia" w:ascii="宋体" w:hAnsi="宋体" w:cs="宋体"/>
                <w:spacing w:val="-11"/>
                <w:sz w:val="18"/>
                <w:szCs w:val="18"/>
              </w:rPr>
              <w:t>香港</w:t>
            </w:r>
          </w:p>
        </w:tc>
        <w:tc>
          <w:tcPr>
            <w:tcW w:w="0" w:type="auto"/>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contextualSpacing/>
              <w:jc w:val="both"/>
              <w:textAlignment w:val="auto"/>
              <w:rPr>
                <w:rFonts w:ascii="宋体" w:hAnsi="宋体" w:cs="宋体"/>
                <w:spacing w:val="-11"/>
                <w:sz w:val="18"/>
                <w:szCs w:val="18"/>
              </w:rPr>
            </w:pPr>
            <w:r>
              <w:rPr>
                <w:rFonts w:hint="eastAsia" w:ascii="宋体" w:hAnsi="宋体" w:cs="宋体"/>
                <w:spacing w:val="-11"/>
                <w:sz w:val="18"/>
                <w:szCs w:val="18"/>
              </w:rPr>
              <w:t>维护不特定多数人的公共利益</w:t>
            </w:r>
          </w:p>
        </w:tc>
        <w:tc>
          <w:tcPr>
            <w:tcW w:w="0" w:type="auto"/>
            <w:noWrap w:val="0"/>
            <w:vAlign w:val="top"/>
          </w:tcPr>
          <w:p>
            <w:pPr>
              <w:keepNext w:val="0"/>
              <w:keepLines w:val="0"/>
              <w:pageBreakBefore w:val="0"/>
              <w:widowControl/>
              <w:kinsoku/>
              <w:wordWrap/>
              <w:overflowPunct/>
              <w:topLinePunct w:val="0"/>
              <w:autoSpaceDE/>
              <w:autoSpaceDN/>
              <w:bidi w:val="0"/>
              <w:adjustRightInd/>
              <w:snapToGrid/>
              <w:spacing w:line="240" w:lineRule="auto"/>
              <w:ind w:left="0" w:leftChars="0"/>
              <w:contextualSpacing/>
              <w:textAlignment w:val="auto"/>
              <w:rPr>
                <w:rFonts w:ascii="宋体" w:hAnsi="宋体" w:cs="宋体"/>
                <w:spacing w:val="-11"/>
                <w:sz w:val="18"/>
                <w:szCs w:val="18"/>
              </w:rPr>
            </w:pPr>
            <w:r>
              <w:rPr>
                <w:rFonts w:hint="eastAsia" w:ascii="宋体" w:hAnsi="宋体" w:cs="宋体"/>
                <w:spacing w:val="-11"/>
                <w:sz w:val="18"/>
                <w:szCs w:val="18"/>
              </w:rPr>
              <w:t>判例主要集中在环境保护、文化遗产保护、选举以及宪法问题等</w:t>
            </w:r>
          </w:p>
        </w:tc>
        <w:tc>
          <w:tcPr>
            <w:tcW w:w="0" w:type="auto"/>
            <w:noWrap w:val="0"/>
            <w:vAlign w:val="top"/>
          </w:tcPr>
          <w:p>
            <w:pPr>
              <w:keepNext w:val="0"/>
              <w:keepLines w:val="0"/>
              <w:pageBreakBefore w:val="0"/>
              <w:widowControl/>
              <w:kinsoku/>
              <w:wordWrap/>
              <w:overflowPunct/>
              <w:topLinePunct w:val="0"/>
              <w:autoSpaceDE/>
              <w:autoSpaceDN/>
              <w:bidi w:val="0"/>
              <w:adjustRightInd/>
              <w:snapToGrid/>
              <w:spacing w:line="240" w:lineRule="auto"/>
              <w:ind w:left="0" w:leftChars="0"/>
              <w:contextualSpacing/>
              <w:textAlignment w:val="auto"/>
              <w:rPr>
                <w:rFonts w:ascii="宋体" w:hAnsi="宋体" w:cs="宋体"/>
                <w:spacing w:val="-11"/>
                <w:sz w:val="18"/>
                <w:szCs w:val="18"/>
              </w:rPr>
            </w:pPr>
            <w:r>
              <w:rPr>
                <w:rFonts w:hint="eastAsia" w:ascii="宋体" w:hAnsi="宋体" w:cs="宋体"/>
                <w:spacing w:val="-11"/>
                <w:sz w:val="18"/>
                <w:szCs w:val="18"/>
              </w:rPr>
              <w:t>司法覆核程序（许可申请——实质性辩论）——（若不服上诉）——（若不服上诉）</w:t>
            </w:r>
          </w:p>
        </w:tc>
        <w:tc>
          <w:tcPr>
            <w:tcW w:w="0" w:type="auto"/>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contextualSpacing/>
              <w:jc w:val="center"/>
              <w:textAlignment w:val="auto"/>
              <w:rPr>
                <w:rFonts w:ascii="宋体" w:hAnsi="宋体" w:cs="宋体"/>
                <w:spacing w:val="-11"/>
                <w:sz w:val="18"/>
                <w:szCs w:val="18"/>
              </w:rPr>
            </w:pPr>
            <w:r>
              <w:rPr>
                <w:rFonts w:hint="eastAsia" w:ascii="宋体" w:hAnsi="宋体" w:cs="宋体"/>
                <w:spacing w:val="-11"/>
                <w:sz w:val="18"/>
                <w:szCs w:val="18"/>
              </w:rPr>
              <w:t>《高等法院条例》《高等法院规则》《地方法院条例》《地方法院民事诉讼（暂行）规程》等</w:t>
            </w:r>
          </w:p>
        </w:tc>
        <w:tc>
          <w:tcPr>
            <w:tcW w:w="0" w:type="auto"/>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contextualSpacing/>
              <w:jc w:val="both"/>
              <w:textAlignment w:val="auto"/>
              <w:rPr>
                <w:rFonts w:ascii="宋体" w:hAnsi="宋体" w:cs="宋体"/>
                <w:spacing w:val="-11"/>
                <w:sz w:val="18"/>
                <w:szCs w:val="18"/>
              </w:rPr>
            </w:pPr>
            <w:r>
              <w:rPr>
                <w:rFonts w:hint="eastAsia" w:ascii="宋体" w:hAnsi="宋体" w:cs="宋体"/>
                <w:spacing w:val="-11"/>
                <w:sz w:val="18"/>
                <w:szCs w:val="18"/>
              </w:rPr>
              <w:t>个人、社会团体等。检察机关即香港律政司除了全权负责香港行使案件的检控外，作为公众利益的维护者，它可以申请司法审查，维护公众的合法权益。另外，它还可以代表公共利益出庭参与审理涉及重大公益的案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5" w:hRule="atLeast"/>
        </w:trPr>
        <w:tc>
          <w:tcPr>
            <w:tcW w:w="0" w:type="auto"/>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contextualSpacing/>
              <w:jc w:val="center"/>
              <w:textAlignment w:val="auto"/>
              <w:rPr>
                <w:rFonts w:ascii="宋体" w:hAnsi="宋体" w:cs="宋体"/>
                <w:spacing w:val="-11"/>
                <w:sz w:val="18"/>
                <w:szCs w:val="18"/>
              </w:rPr>
            </w:pPr>
            <w:r>
              <w:rPr>
                <w:rFonts w:hint="eastAsia" w:ascii="宋体" w:hAnsi="宋体" w:cs="宋体"/>
                <w:spacing w:val="-11"/>
                <w:sz w:val="18"/>
                <w:szCs w:val="18"/>
              </w:rPr>
              <w:t>澳门</w:t>
            </w:r>
          </w:p>
        </w:tc>
        <w:tc>
          <w:tcPr>
            <w:tcW w:w="0" w:type="auto"/>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contextualSpacing/>
              <w:jc w:val="both"/>
              <w:textAlignment w:val="auto"/>
              <w:rPr>
                <w:rFonts w:ascii="宋体" w:hAnsi="宋体" w:cs="宋体"/>
                <w:spacing w:val="-11"/>
                <w:sz w:val="18"/>
                <w:szCs w:val="18"/>
              </w:rPr>
            </w:pPr>
            <w:r>
              <w:rPr>
                <w:rFonts w:hint="eastAsia" w:ascii="宋体" w:hAnsi="宋体" w:cs="宋体"/>
                <w:spacing w:val="-11"/>
                <w:sz w:val="18"/>
                <w:szCs w:val="18"/>
              </w:rPr>
              <w:t>维护大众利益</w:t>
            </w:r>
          </w:p>
        </w:tc>
        <w:tc>
          <w:tcPr>
            <w:tcW w:w="0" w:type="auto"/>
            <w:noWrap w:val="0"/>
            <w:vAlign w:val="top"/>
          </w:tcPr>
          <w:p>
            <w:pPr>
              <w:keepNext w:val="0"/>
              <w:keepLines w:val="0"/>
              <w:pageBreakBefore w:val="0"/>
              <w:widowControl/>
              <w:kinsoku/>
              <w:wordWrap/>
              <w:overflowPunct/>
              <w:topLinePunct w:val="0"/>
              <w:autoSpaceDE/>
              <w:autoSpaceDN/>
              <w:bidi w:val="0"/>
              <w:adjustRightInd/>
              <w:snapToGrid/>
              <w:spacing w:line="240" w:lineRule="auto"/>
              <w:ind w:left="0" w:leftChars="0"/>
              <w:contextualSpacing/>
              <w:textAlignment w:val="auto"/>
              <w:rPr>
                <w:rFonts w:ascii="宋体" w:hAnsi="宋体" w:cs="宋体"/>
                <w:spacing w:val="-11"/>
                <w:sz w:val="18"/>
                <w:szCs w:val="18"/>
              </w:rPr>
            </w:pPr>
            <w:r>
              <w:rPr>
                <w:rFonts w:hint="eastAsia" w:ascii="宋体" w:hAnsi="宋体" w:cs="宋体"/>
                <w:spacing w:val="-11"/>
                <w:sz w:val="18"/>
                <w:szCs w:val="18"/>
              </w:rPr>
              <w:t>维护公共卫生、环境、生活质素、文化财产及公产，以及保障财货及劳务消费等</w:t>
            </w:r>
          </w:p>
        </w:tc>
        <w:tc>
          <w:tcPr>
            <w:tcW w:w="0" w:type="auto"/>
            <w:noWrap w:val="0"/>
            <w:vAlign w:val="top"/>
          </w:tcPr>
          <w:p>
            <w:pPr>
              <w:keepNext w:val="0"/>
              <w:keepLines w:val="0"/>
              <w:pageBreakBefore w:val="0"/>
              <w:widowControl/>
              <w:kinsoku/>
              <w:wordWrap/>
              <w:overflowPunct/>
              <w:topLinePunct w:val="0"/>
              <w:autoSpaceDE/>
              <w:autoSpaceDN/>
              <w:bidi w:val="0"/>
              <w:adjustRightInd/>
              <w:snapToGrid/>
              <w:spacing w:line="240" w:lineRule="auto"/>
              <w:ind w:left="0" w:leftChars="0"/>
              <w:contextualSpacing/>
              <w:textAlignment w:val="auto"/>
              <w:rPr>
                <w:rFonts w:ascii="宋体" w:hAnsi="宋体" w:cs="宋体"/>
                <w:spacing w:val="-11"/>
                <w:sz w:val="18"/>
                <w:szCs w:val="18"/>
              </w:rPr>
            </w:pPr>
            <w:r>
              <w:rPr>
                <w:rFonts w:hint="eastAsia" w:ascii="宋体" w:hAnsi="宋体" w:cs="宋体"/>
                <w:spacing w:val="-11"/>
                <w:sz w:val="18"/>
                <w:szCs w:val="18"/>
              </w:rPr>
              <w:t>澳门民事诉讼程序（法院架构为三级建制）</w:t>
            </w:r>
          </w:p>
        </w:tc>
        <w:tc>
          <w:tcPr>
            <w:tcW w:w="0" w:type="auto"/>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contextualSpacing/>
              <w:jc w:val="center"/>
              <w:textAlignment w:val="auto"/>
              <w:rPr>
                <w:rFonts w:ascii="宋体" w:hAnsi="宋体" w:cs="宋体"/>
                <w:spacing w:val="-11"/>
                <w:sz w:val="18"/>
                <w:szCs w:val="18"/>
              </w:rPr>
            </w:pPr>
            <w:r>
              <w:rPr>
                <w:rFonts w:hint="eastAsia" w:ascii="宋体" w:hAnsi="宋体" w:cs="宋体"/>
                <w:spacing w:val="-11"/>
                <w:sz w:val="18"/>
                <w:szCs w:val="18"/>
              </w:rPr>
              <w:t>《澳门民事诉讼法典》等</w:t>
            </w:r>
          </w:p>
        </w:tc>
        <w:tc>
          <w:tcPr>
            <w:tcW w:w="0" w:type="auto"/>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contextualSpacing/>
              <w:jc w:val="both"/>
              <w:textAlignment w:val="auto"/>
              <w:rPr>
                <w:rFonts w:ascii="宋体" w:hAnsi="宋体" w:cs="宋体"/>
                <w:spacing w:val="-11"/>
                <w:sz w:val="18"/>
                <w:szCs w:val="18"/>
              </w:rPr>
            </w:pPr>
            <w:r>
              <w:rPr>
                <w:rFonts w:hint="eastAsia" w:ascii="宋体" w:hAnsi="宋体" w:cs="宋体"/>
                <w:spacing w:val="-11"/>
                <w:sz w:val="18"/>
                <w:szCs w:val="18"/>
              </w:rPr>
              <w:t>任何享有公民权利及政治权利之居民，宗旨涉及有关利益之社团或财团，市政厅以及检察院</w:t>
            </w:r>
          </w:p>
        </w:tc>
      </w:tr>
    </w:tbl>
    <w:p>
      <w:pPr>
        <w:pStyle w:val="5"/>
        <w:keepNext w:val="0"/>
        <w:keepLines w:val="0"/>
        <w:pageBreakBefore w:val="0"/>
        <w:widowControl/>
        <w:kinsoku/>
        <w:wordWrap/>
        <w:overflowPunct/>
        <w:topLinePunct w:val="0"/>
        <w:autoSpaceDE/>
        <w:autoSpaceDN/>
        <w:bidi w:val="0"/>
        <w:adjustRightInd/>
        <w:snapToGrid/>
        <w:spacing w:line="360" w:lineRule="auto"/>
        <w:ind w:left="0" w:leftChars="0"/>
        <w:contextualSpacing/>
        <w:rPr>
          <w:rFonts w:ascii="宋体" w:hAnsi="宋体" w:cs="宋体"/>
          <w:sz w:val="21"/>
          <w:szCs w:val="21"/>
        </w:rPr>
      </w:pPr>
      <w:bookmarkStart w:id="0" w:name="_Ref140500432"/>
      <w:r>
        <w:rPr>
          <w:rFonts w:hint="eastAsia"/>
          <w:sz w:val="21"/>
          <w:szCs w:val="21"/>
          <w:lang w:val="en-US" w:eastAsia="zh-CN"/>
        </w:rPr>
        <w:t>图</w:t>
      </w:r>
      <w:bookmarkEnd w:id="0"/>
      <w:r>
        <w:rPr>
          <w:rFonts w:hint="eastAsia"/>
          <w:sz w:val="21"/>
          <w:szCs w:val="21"/>
          <w:lang w:val="en-US" w:eastAsia="zh-CN"/>
        </w:rPr>
        <w:t>1：</w:t>
      </w:r>
      <w:r>
        <w:rPr>
          <w:rFonts w:hint="eastAsia"/>
          <w:sz w:val="21"/>
          <w:szCs w:val="21"/>
        </w:rPr>
        <w:t>内地、香港、澳门民事</w:t>
      </w:r>
      <w:r>
        <w:rPr>
          <w:rFonts w:hint="eastAsia"/>
          <w:sz w:val="21"/>
          <w:szCs w:val="21"/>
          <w:lang w:val="en-US" w:eastAsia="zh-CN"/>
        </w:rPr>
        <w:t>公益舒属性</w:t>
      </w:r>
      <w:r>
        <w:rPr>
          <w:rFonts w:hint="eastAsia"/>
          <w:sz w:val="21"/>
          <w:szCs w:val="21"/>
        </w:rPr>
        <w:t>诉讼比较</w:t>
      </w:r>
    </w:p>
    <w:p>
      <w:pPr>
        <w:keepNext w:val="0"/>
        <w:keepLines w:val="0"/>
        <w:pageBreakBefore w:val="0"/>
        <w:widowControl/>
        <w:kinsoku/>
        <w:wordWrap/>
        <w:overflowPunct/>
        <w:topLinePunct w:val="0"/>
        <w:autoSpaceDE/>
        <w:autoSpaceDN/>
        <w:bidi w:val="0"/>
        <w:adjustRightInd/>
        <w:snapToGrid/>
        <w:spacing w:line="360" w:lineRule="auto"/>
        <w:ind w:firstLine="560" w:firstLineChars="200"/>
        <w:rPr>
          <w:rFonts w:hint="eastAsia" w:ascii="黑体" w:hAnsi="黑体" w:eastAsia="黑体" w:cs="黑体"/>
          <w:bCs w:val="0"/>
          <w:kern w:val="2"/>
          <w:sz w:val="28"/>
          <w:szCs w:val="28"/>
          <w:lang w:val="en-US" w:eastAsia="zh-CN" w:bidi="ar-SA"/>
        </w:rPr>
      </w:pPr>
      <w:r>
        <w:rPr>
          <w:rFonts w:hint="eastAsia" w:ascii="黑体" w:hAnsi="黑体" w:eastAsia="黑体" w:cs="黑体"/>
          <w:bCs w:val="0"/>
          <w:kern w:val="2"/>
          <w:sz w:val="28"/>
          <w:szCs w:val="28"/>
          <w:lang w:val="en-US" w:eastAsia="zh-CN" w:bidi="ar-SA"/>
        </w:rPr>
        <w:t>（三）政策基础</w:t>
      </w:r>
    </w:p>
    <w:p>
      <w:pPr>
        <w:keepNext w:val="0"/>
        <w:keepLines w:val="0"/>
        <w:pageBreakBefore w:val="0"/>
        <w:widowControl/>
        <w:kinsoku/>
        <w:wordWrap/>
        <w:overflowPunct/>
        <w:topLinePunct w:val="0"/>
        <w:autoSpaceDE/>
        <w:autoSpaceDN/>
        <w:bidi w:val="0"/>
        <w:adjustRightInd/>
        <w:snapToGrid/>
        <w:spacing w:line="360" w:lineRule="auto"/>
        <w:ind w:left="0" w:leftChars="0" w:firstLine="480" w:firstLineChars="200"/>
        <w:contextualSpacing/>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粤港澳大湾区发展规划纲要》（以下简称《规划纲要》）指出，加强粤港澳司法交流与协作，推动建立共商、共建、共享的多元化解决纠纷机制。自2017年粤港澳大湾区成立以来，我国出台的一些政策指导文件以及与三地联签的一些文件，为粤港澳大湾区的民事公益诉讼制度协作提供了政策依据与基础。</w:t>
      </w:r>
    </w:p>
    <w:tbl>
      <w:tblPr>
        <w:tblStyle w:val="1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03"/>
        <w:gridCol w:w="2029"/>
        <w:gridCol w:w="3496"/>
        <w:gridCol w:w="1588"/>
        <w:gridCol w:w="100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0" w:type="auto"/>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contextualSpacing/>
              <w:jc w:val="center"/>
              <w:textAlignment w:val="auto"/>
              <w:rPr>
                <w:rFonts w:ascii="宋体" w:hAnsi="宋体" w:cs="宋体"/>
                <w:spacing w:val="-11"/>
                <w:sz w:val="18"/>
                <w:szCs w:val="18"/>
              </w:rPr>
            </w:pPr>
            <w:r>
              <w:rPr>
                <w:rFonts w:hint="eastAsia" w:ascii="宋体" w:hAnsi="宋体" w:cs="宋体"/>
                <w:spacing w:val="-11"/>
                <w:sz w:val="18"/>
                <w:szCs w:val="18"/>
              </w:rPr>
              <w:t>序号</w:t>
            </w:r>
          </w:p>
        </w:tc>
        <w:tc>
          <w:tcPr>
            <w:tcW w:w="0" w:type="auto"/>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contextualSpacing/>
              <w:jc w:val="center"/>
              <w:textAlignment w:val="auto"/>
              <w:rPr>
                <w:rFonts w:ascii="宋体" w:hAnsi="宋体" w:cs="宋体"/>
                <w:spacing w:val="-11"/>
                <w:sz w:val="18"/>
                <w:szCs w:val="18"/>
              </w:rPr>
            </w:pPr>
            <w:r>
              <w:rPr>
                <w:rFonts w:hint="eastAsia" w:ascii="宋体" w:hAnsi="宋体" w:cs="宋体"/>
                <w:spacing w:val="-11"/>
                <w:sz w:val="18"/>
                <w:szCs w:val="18"/>
              </w:rPr>
              <w:t>名称</w:t>
            </w:r>
          </w:p>
        </w:tc>
        <w:tc>
          <w:tcPr>
            <w:tcW w:w="0" w:type="auto"/>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contextualSpacing/>
              <w:jc w:val="center"/>
              <w:textAlignment w:val="auto"/>
              <w:rPr>
                <w:rFonts w:ascii="宋体" w:hAnsi="宋体" w:cs="宋体"/>
                <w:spacing w:val="-11"/>
                <w:sz w:val="18"/>
                <w:szCs w:val="18"/>
              </w:rPr>
            </w:pPr>
            <w:r>
              <w:rPr>
                <w:rFonts w:hint="eastAsia" w:ascii="宋体" w:hAnsi="宋体" w:cs="宋体"/>
                <w:spacing w:val="-11"/>
                <w:sz w:val="18"/>
                <w:szCs w:val="18"/>
              </w:rPr>
              <w:t>相关内容</w:t>
            </w:r>
          </w:p>
        </w:tc>
        <w:tc>
          <w:tcPr>
            <w:tcW w:w="0" w:type="auto"/>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contextualSpacing/>
              <w:jc w:val="center"/>
              <w:textAlignment w:val="auto"/>
              <w:rPr>
                <w:rFonts w:ascii="宋体" w:hAnsi="宋体" w:cs="宋体"/>
                <w:spacing w:val="-11"/>
                <w:sz w:val="18"/>
                <w:szCs w:val="18"/>
              </w:rPr>
            </w:pPr>
            <w:r>
              <w:rPr>
                <w:rFonts w:hint="eastAsia" w:ascii="宋体" w:hAnsi="宋体" w:cs="宋体"/>
                <w:spacing w:val="-11"/>
                <w:sz w:val="18"/>
                <w:szCs w:val="18"/>
              </w:rPr>
              <w:t>制定单位</w:t>
            </w:r>
          </w:p>
        </w:tc>
        <w:tc>
          <w:tcPr>
            <w:tcW w:w="0" w:type="auto"/>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contextualSpacing/>
              <w:jc w:val="center"/>
              <w:textAlignment w:val="auto"/>
              <w:rPr>
                <w:rFonts w:ascii="宋体" w:hAnsi="宋体" w:cs="宋体"/>
                <w:spacing w:val="-11"/>
                <w:sz w:val="18"/>
                <w:szCs w:val="18"/>
              </w:rPr>
            </w:pPr>
            <w:r>
              <w:rPr>
                <w:rFonts w:hint="eastAsia" w:ascii="宋体" w:hAnsi="宋体" w:cs="宋体"/>
                <w:spacing w:val="-11"/>
                <w:sz w:val="18"/>
                <w:szCs w:val="18"/>
              </w:rPr>
              <w:t>制定日期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4" w:hRule="atLeast"/>
        </w:trPr>
        <w:tc>
          <w:tcPr>
            <w:tcW w:w="0" w:type="auto"/>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contextualSpacing/>
              <w:jc w:val="center"/>
              <w:textAlignment w:val="auto"/>
              <w:rPr>
                <w:rFonts w:ascii="宋体" w:hAnsi="宋体" w:cs="宋体"/>
                <w:spacing w:val="-11"/>
                <w:sz w:val="18"/>
                <w:szCs w:val="18"/>
              </w:rPr>
            </w:pPr>
            <w:r>
              <w:rPr>
                <w:rFonts w:hint="eastAsia" w:ascii="宋体" w:hAnsi="宋体" w:cs="宋体"/>
                <w:spacing w:val="-11"/>
                <w:sz w:val="18"/>
                <w:szCs w:val="18"/>
              </w:rPr>
              <w:t>1</w:t>
            </w:r>
          </w:p>
        </w:tc>
        <w:tc>
          <w:tcPr>
            <w:tcW w:w="0" w:type="auto"/>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contextualSpacing/>
              <w:jc w:val="both"/>
              <w:textAlignment w:val="auto"/>
              <w:rPr>
                <w:rFonts w:ascii="宋体" w:hAnsi="宋体" w:cs="宋体"/>
                <w:spacing w:val="-11"/>
                <w:sz w:val="18"/>
                <w:szCs w:val="18"/>
              </w:rPr>
            </w:pPr>
            <w:r>
              <w:rPr>
                <w:rFonts w:hint="eastAsia" w:ascii="宋体" w:hAnsi="宋体" w:cs="宋体"/>
                <w:spacing w:val="-11"/>
                <w:sz w:val="18"/>
                <w:szCs w:val="18"/>
              </w:rPr>
              <w:t>《深化粤港澳合作推进大湾区建设框架协议》</w:t>
            </w:r>
          </w:p>
        </w:tc>
        <w:tc>
          <w:tcPr>
            <w:tcW w:w="0" w:type="auto"/>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contextualSpacing/>
              <w:jc w:val="both"/>
              <w:textAlignment w:val="auto"/>
              <w:rPr>
                <w:rFonts w:ascii="宋体" w:hAnsi="宋体" w:cs="宋体"/>
                <w:spacing w:val="-11"/>
                <w:sz w:val="18"/>
                <w:szCs w:val="18"/>
              </w:rPr>
            </w:pPr>
            <w:r>
              <w:rPr>
                <w:rFonts w:ascii="宋体" w:hAnsi="宋体" w:cs="宋体"/>
                <w:spacing w:val="-11"/>
                <w:sz w:val="18"/>
                <w:szCs w:val="18"/>
              </w:rPr>
              <w:t>生态优先，绿色发展。着眼于城市群可持续发展，强化环境保护和生态修复，共建宜居宜业宜游的优质生活圈。</w:t>
            </w:r>
          </w:p>
        </w:tc>
        <w:tc>
          <w:tcPr>
            <w:tcW w:w="0" w:type="auto"/>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contextualSpacing/>
              <w:jc w:val="center"/>
              <w:textAlignment w:val="auto"/>
              <w:rPr>
                <w:rFonts w:ascii="宋体" w:hAnsi="宋体" w:cs="宋体"/>
                <w:spacing w:val="-11"/>
                <w:sz w:val="18"/>
                <w:szCs w:val="18"/>
              </w:rPr>
            </w:pPr>
            <w:r>
              <w:rPr>
                <w:rFonts w:ascii="宋体" w:hAnsi="宋体" w:cs="宋体"/>
                <w:spacing w:val="-11"/>
                <w:sz w:val="18"/>
                <w:szCs w:val="18"/>
              </w:rPr>
              <w:t>国家发展和改革委员会、广东省人民政府、香港特别行政区政府、澳门特别行政区政府</w:t>
            </w:r>
          </w:p>
        </w:tc>
        <w:tc>
          <w:tcPr>
            <w:tcW w:w="0" w:type="auto"/>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contextualSpacing/>
              <w:jc w:val="center"/>
              <w:textAlignment w:val="auto"/>
              <w:rPr>
                <w:rFonts w:ascii="宋体" w:hAnsi="宋体" w:cs="宋体"/>
                <w:spacing w:val="-11"/>
                <w:sz w:val="18"/>
                <w:szCs w:val="18"/>
              </w:rPr>
            </w:pPr>
            <w:r>
              <w:rPr>
                <w:rFonts w:hint="eastAsia" w:ascii="宋体" w:hAnsi="宋体" w:cs="宋体"/>
                <w:spacing w:val="-11"/>
                <w:sz w:val="18"/>
                <w:szCs w:val="18"/>
              </w:rPr>
              <w:t>2017.7.1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4" w:hRule="atLeast"/>
        </w:trPr>
        <w:tc>
          <w:tcPr>
            <w:tcW w:w="0" w:type="auto"/>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contextualSpacing/>
              <w:jc w:val="center"/>
              <w:textAlignment w:val="auto"/>
              <w:rPr>
                <w:rFonts w:ascii="宋体" w:hAnsi="宋体" w:cs="宋体"/>
                <w:spacing w:val="-11"/>
                <w:sz w:val="18"/>
                <w:szCs w:val="18"/>
              </w:rPr>
            </w:pPr>
            <w:r>
              <w:rPr>
                <w:rFonts w:hint="eastAsia" w:ascii="宋体" w:hAnsi="宋体" w:cs="宋体"/>
                <w:spacing w:val="-11"/>
                <w:sz w:val="18"/>
                <w:szCs w:val="18"/>
              </w:rPr>
              <w:t>2</w:t>
            </w:r>
          </w:p>
        </w:tc>
        <w:tc>
          <w:tcPr>
            <w:tcW w:w="0" w:type="auto"/>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contextualSpacing/>
              <w:jc w:val="both"/>
              <w:textAlignment w:val="auto"/>
              <w:rPr>
                <w:rFonts w:ascii="宋体" w:hAnsi="宋体" w:cs="宋体"/>
                <w:spacing w:val="-11"/>
                <w:sz w:val="18"/>
                <w:szCs w:val="18"/>
              </w:rPr>
            </w:pPr>
            <w:r>
              <w:rPr>
                <w:rFonts w:hint="eastAsia" w:ascii="宋体" w:hAnsi="宋体" w:cs="宋体"/>
                <w:spacing w:val="-11"/>
                <w:sz w:val="18"/>
                <w:szCs w:val="18"/>
              </w:rPr>
              <w:t>《粤港澳大湾区发展规划纲要》</w:t>
            </w:r>
          </w:p>
        </w:tc>
        <w:tc>
          <w:tcPr>
            <w:tcW w:w="0" w:type="auto"/>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contextualSpacing/>
              <w:jc w:val="both"/>
              <w:textAlignment w:val="auto"/>
              <w:rPr>
                <w:rFonts w:ascii="宋体" w:hAnsi="宋体" w:cs="宋体"/>
                <w:spacing w:val="-11"/>
                <w:sz w:val="18"/>
                <w:szCs w:val="18"/>
              </w:rPr>
            </w:pPr>
            <w:r>
              <w:rPr>
                <w:rFonts w:hint="eastAsia" w:ascii="宋体" w:hAnsi="宋体" w:cs="宋体"/>
                <w:spacing w:val="-11"/>
                <w:sz w:val="18"/>
                <w:szCs w:val="18"/>
              </w:rPr>
              <w:t>加强粤港澳司法交流与协作，推动建共商、共建、共享的多元化解决纠纷机制。</w:t>
            </w:r>
          </w:p>
          <w:p>
            <w:pPr>
              <w:keepNext w:val="0"/>
              <w:keepLines w:val="0"/>
              <w:pageBreakBefore w:val="0"/>
              <w:widowControl/>
              <w:kinsoku/>
              <w:wordWrap/>
              <w:overflowPunct/>
              <w:topLinePunct w:val="0"/>
              <w:autoSpaceDE/>
              <w:autoSpaceDN/>
              <w:bidi w:val="0"/>
              <w:adjustRightInd/>
              <w:snapToGrid/>
              <w:spacing w:line="240" w:lineRule="auto"/>
              <w:ind w:left="0" w:leftChars="0"/>
              <w:contextualSpacing/>
              <w:jc w:val="both"/>
              <w:textAlignment w:val="auto"/>
              <w:rPr>
                <w:rFonts w:ascii="宋体" w:hAnsi="宋体" w:cs="宋体"/>
                <w:spacing w:val="-11"/>
                <w:sz w:val="18"/>
                <w:szCs w:val="18"/>
              </w:rPr>
            </w:pPr>
            <w:r>
              <w:rPr>
                <w:rFonts w:hint="eastAsia" w:ascii="宋体" w:hAnsi="宋体" w:cs="宋体"/>
                <w:spacing w:val="-11"/>
                <w:sz w:val="18"/>
                <w:szCs w:val="18"/>
              </w:rPr>
              <w:t>绿色发展，保护生态。</w:t>
            </w:r>
          </w:p>
          <w:p>
            <w:pPr>
              <w:keepNext w:val="0"/>
              <w:keepLines w:val="0"/>
              <w:pageBreakBefore w:val="0"/>
              <w:widowControl/>
              <w:kinsoku/>
              <w:wordWrap/>
              <w:overflowPunct/>
              <w:topLinePunct w:val="0"/>
              <w:autoSpaceDE/>
              <w:autoSpaceDN/>
              <w:bidi w:val="0"/>
              <w:adjustRightInd/>
              <w:snapToGrid/>
              <w:spacing w:line="240" w:lineRule="auto"/>
              <w:ind w:left="0" w:leftChars="0"/>
              <w:contextualSpacing/>
              <w:jc w:val="both"/>
              <w:textAlignment w:val="auto"/>
              <w:rPr>
                <w:rFonts w:ascii="宋体" w:hAnsi="宋体" w:cs="宋体"/>
                <w:spacing w:val="-11"/>
                <w:sz w:val="18"/>
                <w:szCs w:val="18"/>
              </w:rPr>
            </w:pPr>
            <w:r>
              <w:rPr>
                <w:rFonts w:hint="eastAsia" w:ascii="宋体" w:hAnsi="宋体" w:cs="宋体"/>
                <w:spacing w:val="-11"/>
                <w:sz w:val="18"/>
                <w:szCs w:val="18"/>
              </w:rPr>
              <w:t>建设宜居宜业宜游的优质生活圈。</w:t>
            </w:r>
          </w:p>
          <w:p>
            <w:pPr>
              <w:keepNext w:val="0"/>
              <w:keepLines w:val="0"/>
              <w:pageBreakBefore w:val="0"/>
              <w:widowControl/>
              <w:kinsoku/>
              <w:wordWrap/>
              <w:overflowPunct/>
              <w:topLinePunct w:val="0"/>
              <w:autoSpaceDE/>
              <w:autoSpaceDN/>
              <w:bidi w:val="0"/>
              <w:adjustRightInd/>
              <w:snapToGrid/>
              <w:spacing w:line="240" w:lineRule="auto"/>
              <w:ind w:left="0" w:leftChars="0"/>
              <w:contextualSpacing/>
              <w:jc w:val="both"/>
              <w:textAlignment w:val="auto"/>
              <w:rPr>
                <w:rFonts w:ascii="宋体" w:hAnsi="宋体" w:cs="宋体"/>
                <w:spacing w:val="-11"/>
                <w:sz w:val="18"/>
                <w:szCs w:val="18"/>
              </w:rPr>
            </w:pPr>
            <w:r>
              <w:rPr>
                <w:rFonts w:hint="eastAsia" w:ascii="宋体" w:hAnsi="宋体" w:cs="宋体"/>
                <w:spacing w:val="-11"/>
                <w:sz w:val="18"/>
                <w:szCs w:val="18"/>
              </w:rPr>
              <w:t>加强食品食用农产品安全合作。</w:t>
            </w:r>
          </w:p>
        </w:tc>
        <w:tc>
          <w:tcPr>
            <w:tcW w:w="0" w:type="auto"/>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contextualSpacing/>
              <w:jc w:val="center"/>
              <w:textAlignment w:val="auto"/>
              <w:rPr>
                <w:rFonts w:ascii="宋体" w:hAnsi="宋体" w:cs="宋体"/>
                <w:spacing w:val="-11"/>
                <w:sz w:val="18"/>
                <w:szCs w:val="18"/>
              </w:rPr>
            </w:pPr>
            <w:r>
              <w:rPr>
                <w:rFonts w:hint="eastAsia" w:ascii="宋体" w:hAnsi="宋体" w:cs="宋体"/>
                <w:spacing w:val="-11"/>
                <w:sz w:val="18"/>
                <w:szCs w:val="18"/>
              </w:rPr>
              <w:t>中共中央、国务院</w:t>
            </w:r>
          </w:p>
        </w:tc>
        <w:tc>
          <w:tcPr>
            <w:tcW w:w="0" w:type="auto"/>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contextualSpacing/>
              <w:jc w:val="center"/>
              <w:textAlignment w:val="auto"/>
              <w:rPr>
                <w:rFonts w:ascii="宋体" w:hAnsi="宋体" w:cs="宋体"/>
                <w:color w:val="000000"/>
                <w:spacing w:val="-11"/>
                <w:sz w:val="18"/>
                <w:szCs w:val="18"/>
                <w:shd w:val="clear" w:color="auto" w:fill="FFFFFF"/>
              </w:rPr>
            </w:pPr>
            <w:r>
              <w:rPr>
                <w:rFonts w:hint="eastAsia" w:ascii="宋体" w:hAnsi="宋体" w:cs="宋体"/>
                <w:spacing w:val="-11"/>
                <w:sz w:val="18"/>
                <w:szCs w:val="18"/>
              </w:rPr>
              <w:t>2019.2.18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contextualSpacing/>
              <w:jc w:val="center"/>
              <w:textAlignment w:val="auto"/>
              <w:rPr>
                <w:rFonts w:ascii="宋体" w:hAnsi="宋体" w:cs="宋体"/>
                <w:spacing w:val="-11"/>
                <w:sz w:val="18"/>
                <w:szCs w:val="18"/>
              </w:rPr>
            </w:pPr>
            <w:r>
              <w:rPr>
                <w:rFonts w:hint="eastAsia" w:ascii="宋体" w:hAnsi="宋体" w:cs="宋体"/>
                <w:spacing w:val="-11"/>
                <w:sz w:val="18"/>
                <w:szCs w:val="18"/>
              </w:rPr>
              <w:t>3</w:t>
            </w:r>
          </w:p>
        </w:tc>
        <w:tc>
          <w:tcPr>
            <w:tcW w:w="0" w:type="auto"/>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contextualSpacing/>
              <w:jc w:val="both"/>
              <w:textAlignment w:val="auto"/>
              <w:rPr>
                <w:rFonts w:ascii="宋体" w:hAnsi="宋体" w:cs="宋体"/>
                <w:spacing w:val="-11"/>
                <w:sz w:val="18"/>
                <w:szCs w:val="18"/>
              </w:rPr>
            </w:pPr>
            <w:r>
              <w:rPr>
                <w:rFonts w:hint="eastAsia" w:ascii="宋体" w:hAnsi="宋体" w:cs="宋体"/>
                <w:spacing w:val="-11"/>
                <w:sz w:val="18"/>
                <w:szCs w:val="18"/>
              </w:rPr>
              <w:t>《关于贯彻落实&lt;粤港澳大湾区发展规划纲要&gt;的实施意见》</w:t>
            </w:r>
          </w:p>
        </w:tc>
        <w:tc>
          <w:tcPr>
            <w:tcW w:w="0" w:type="auto"/>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contextualSpacing/>
              <w:jc w:val="both"/>
              <w:textAlignment w:val="auto"/>
              <w:rPr>
                <w:rFonts w:ascii="宋体" w:hAnsi="宋体" w:cs="宋体"/>
                <w:spacing w:val="-11"/>
                <w:sz w:val="18"/>
                <w:szCs w:val="18"/>
              </w:rPr>
            </w:pPr>
            <w:r>
              <w:rPr>
                <w:rFonts w:hint="eastAsia" w:ascii="宋体" w:hAnsi="宋体" w:cs="宋体"/>
                <w:spacing w:val="-11"/>
                <w:sz w:val="18"/>
                <w:szCs w:val="18"/>
              </w:rPr>
              <w:t>以规则衔接为重点，着力破除制约大湾区建设的体制机制障碍，促进各类要素在大湾区便捷流动和优化配置。</w:t>
            </w:r>
          </w:p>
          <w:p>
            <w:pPr>
              <w:keepNext w:val="0"/>
              <w:keepLines w:val="0"/>
              <w:pageBreakBefore w:val="0"/>
              <w:widowControl/>
              <w:kinsoku/>
              <w:wordWrap/>
              <w:overflowPunct/>
              <w:topLinePunct w:val="0"/>
              <w:autoSpaceDE/>
              <w:autoSpaceDN/>
              <w:bidi w:val="0"/>
              <w:adjustRightInd/>
              <w:snapToGrid/>
              <w:spacing w:line="240" w:lineRule="auto"/>
              <w:ind w:left="0" w:leftChars="0"/>
              <w:contextualSpacing/>
              <w:jc w:val="both"/>
              <w:textAlignment w:val="auto"/>
              <w:rPr>
                <w:rFonts w:ascii="宋体" w:hAnsi="宋体" w:cs="宋体"/>
                <w:spacing w:val="-11"/>
                <w:sz w:val="18"/>
                <w:szCs w:val="18"/>
              </w:rPr>
            </w:pPr>
            <w:r>
              <w:rPr>
                <w:rFonts w:hint="eastAsia" w:ascii="宋体" w:hAnsi="宋体" w:cs="宋体"/>
                <w:spacing w:val="-11"/>
                <w:sz w:val="18"/>
                <w:szCs w:val="18"/>
              </w:rPr>
              <w:t>七、推进生态文明建设</w:t>
            </w:r>
          </w:p>
          <w:p>
            <w:pPr>
              <w:keepNext w:val="0"/>
              <w:keepLines w:val="0"/>
              <w:pageBreakBefore w:val="0"/>
              <w:widowControl/>
              <w:kinsoku/>
              <w:wordWrap/>
              <w:overflowPunct/>
              <w:topLinePunct w:val="0"/>
              <w:autoSpaceDE/>
              <w:autoSpaceDN/>
              <w:bidi w:val="0"/>
              <w:adjustRightInd/>
              <w:snapToGrid/>
              <w:spacing w:line="240" w:lineRule="auto"/>
              <w:ind w:left="0" w:leftChars="0"/>
              <w:contextualSpacing/>
              <w:jc w:val="both"/>
              <w:textAlignment w:val="auto"/>
              <w:rPr>
                <w:rFonts w:ascii="宋体" w:hAnsi="宋体" w:cs="宋体"/>
                <w:spacing w:val="-11"/>
                <w:sz w:val="18"/>
                <w:szCs w:val="18"/>
              </w:rPr>
            </w:pPr>
            <w:r>
              <w:rPr>
                <w:rFonts w:hint="eastAsia" w:ascii="宋体" w:hAnsi="宋体" w:cs="宋体"/>
                <w:spacing w:val="-11"/>
                <w:sz w:val="18"/>
                <w:szCs w:val="18"/>
              </w:rPr>
              <w:t>八、建设宜居宜业宜游的优质生活圈</w:t>
            </w:r>
          </w:p>
        </w:tc>
        <w:tc>
          <w:tcPr>
            <w:tcW w:w="0" w:type="auto"/>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contextualSpacing/>
              <w:jc w:val="center"/>
              <w:textAlignment w:val="auto"/>
              <w:rPr>
                <w:rFonts w:ascii="宋体" w:hAnsi="宋体" w:cs="宋体"/>
                <w:spacing w:val="-11"/>
                <w:sz w:val="18"/>
                <w:szCs w:val="18"/>
              </w:rPr>
            </w:pPr>
            <w:r>
              <w:rPr>
                <w:rFonts w:hint="eastAsia" w:ascii="宋体" w:hAnsi="宋体" w:cs="宋体"/>
                <w:spacing w:val="-11"/>
                <w:sz w:val="18"/>
                <w:szCs w:val="18"/>
              </w:rPr>
              <w:t>广东省委、省政府</w:t>
            </w:r>
          </w:p>
        </w:tc>
        <w:tc>
          <w:tcPr>
            <w:tcW w:w="0" w:type="auto"/>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contextualSpacing/>
              <w:jc w:val="center"/>
              <w:textAlignment w:val="auto"/>
              <w:rPr>
                <w:rFonts w:ascii="宋体" w:hAnsi="宋体" w:cs="宋体"/>
                <w:spacing w:val="-11"/>
                <w:sz w:val="18"/>
                <w:szCs w:val="18"/>
              </w:rPr>
            </w:pPr>
            <w:r>
              <w:rPr>
                <w:rFonts w:hint="eastAsia" w:ascii="宋体" w:hAnsi="宋体" w:cs="宋体"/>
                <w:spacing w:val="-11"/>
                <w:sz w:val="18"/>
                <w:szCs w:val="18"/>
              </w:rPr>
              <w:t>2019.7.5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contextualSpacing/>
              <w:jc w:val="center"/>
              <w:textAlignment w:val="auto"/>
              <w:rPr>
                <w:rFonts w:hint="eastAsia" w:ascii="宋体" w:hAnsi="宋体" w:eastAsia="宋体" w:cs="宋体"/>
                <w:spacing w:val="-11"/>
                <w:sz w:val="18"/>
                <w:szCs w:val="18"/>
                <w:lang w:val="en-US" w:eastAsia="zh-CN"/>
              </w:rPr>
            </w:pPr>
            <w:r>
              <w:rPr>
                <w:rFonts w:hint="eastAsia" w:ascii="宋体" w:hAnsi="宋体" w:cs="宋体"/>
                <w:spacing w:val="-11"/>
                <w:sz w:val="18"/>
                <w:szCs w:val="18"/>
                <w:lang w:val="en-US" w:eastAsia="zh-CN"/>
              </w:rPr>
              <w:t>4</w:t>
            </w:r>
          </w:p>
        </w:tc>
        <w:tc>
          <w:tcPr>
            <w:tcW w:w="0" w:type="auto"/>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contextualSpacing/>
              <w:jc w:val="both"/>
              <w:textAlignment w:val="auto"/>
              <w:rPr>
                <w:rFonts w:hint="eastAsia" w:ascii="宋体" w:hAnsi="宋体" w:cs="宋体"/>
                <w:spacing w:val="-11"/>
                <w:sz w:val="18"/>
                <w:szCs w:val="18"/>
              </w:rPr>
            </w:pPr>
            <w:r>
              <w:rPr>
                <w:rFonts w:hint="eastAsia" w:ascii="宋体" w:hAnsi="宋体" w:cs="宋体"/>
                <w:spacing w:val="-11"/>
                <w:sz w:val="18"/>
                <w:szCs w:val="18"/>
              </w:rPr>
              <w:t>《关于充分发挥检察职能服务保障粤港澳大湾区建设的意见》和《广东省检察机关服务保障粤港澳大湾区建设行动计划》</w:t>
            </w:r>
          </w:p>
        </w:tc>
        <w:tc>
          <w:tcPr>
            <w:tcW w:w="0" w:type="auto"/>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contextualSpacing/>
              <w:jc w:val="both"/>
              <w:textAlignment w:val="auto"/>
              <w:rPr>
                <w:rFonts w:hint="default" w:ascii="宋体" w:hAnsi="宋体" w:eastAsia="宋体" w:cs="宋体"/>
                <w:color w:val="FF0000"/>
                <w:spacing w:val="-11"/>
                <w:sz w:val="18"/>
                <w:szCs w:val="18"/>
                <w:lang w:val="en-US" w:eastAsia="zh-CN"/>
              </w:rPr>
            </w:pPr>
            <w:r>
              <w:rPr>
                <w:rFonts w:hint="eastAsia" w:ascii="宋体" w:hAnsi="宋体" w:cs="宋体"/>
                <w:color w:val="000000"/>
                <w:spacing w:val="-11"/>
                <w:sz w:val="18"/>
                <w:szCs w:val="18"/>
                <w:lang w:val="en-US" w:eastAsia="zh-CN"/>
              </w:rPr>
              <w:t>更新司法理念，保障市场化、法治化、国际化营商环境，加强生态文明和公共利益保护等。</w:t>
            </w:r>
          </w:p>
        </w:tc>
        <w:tc>
          <w:tcPr>
            <w:tcW w:w="0" w:type="auto"/>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contextualSpacing/>
              <w:jc w:val="center"/>
              <w:textAlignment w:val="auto"/>
              <w:rPr>
                <w:rFonts w:hint="eastAsia" w:ascii="宋体" w:hAnsi="宋体" w:cs="宋体"/>
                <w:spacing w:val="-11"/>
                <w:sz w:val="18"/>
                <w:szCs w:val="18"/>
              </w:rPr>
            </w:pPr>
            <w:r>
              <w:rPr>
                <w:rFonts w:hint="eastAsia" w:ascii="宋体" w:hAnsi="宋体" w:cs="宋体"/>
                <w:spacing w:val="-11"/>
                <w:sz w:val="18"/>
                <w:szCs w:val="18"/>
              </w:rPr>
              <w:t>广东省人民检察院</w:t>
            </w:r>
          </w:p>
        </w:tc>
        <w:tc>
          <w:tcPr>
            <w:tcW w:w="0" w:type="auto"/>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contextualSpacing/>
              <w:jc w:val="center"/>
              <w:textAlignment w:val="auto"/>
              <w:rPr>
                <w:rFonts w:hint="default" w:ascii="宋体" w:hAnsi="宋体" w:cs="宋体"/>
                <w:spacing w:val="-11"/>
                <w:sz w:val="18"/>
                <w:szCs w:val="18"/>
                <w:lang w:val="en-US"/>
              </w:rPr>
            </w:pPr>
            <w:r>
              <w:rPr>
                <w:rFonts w:hint="default" w:ascii="宋体" w:hAnsi="宋体" w:cs="宋体"/>
                <w:spacing w:val="-11"/>
                <w:sz w:val="18"/>
                <w:szCs w:val="18"/>
                <w:lang w:val="en-US"/>
              </w:rPr>
              <w:t>2019.12.19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contextualSpacing/>
              <w:jc w:val="center"/>
              <w:textAlignment w:val="auto"/>
              <w:rPr>
                <w:rFonts w:hint="eastAsia" w:ascii="宋体" w:hAnsi="宋体" w:eastAsia="宋体" w:cs="宋体"/>
                <w:spacing w:val="-11"/>
                <w:sz w:val="18"/>
                <w:szCs w:val="18"/>
                <w:lang w:eastAsia="zh-CN"/>
              </w:rPr>
            </w:pPr>
            <w:r>
              <w:rPr>
                <w:rFonts w:hint="eastAsia" w:ascii="宋体" w:hAnsi="宋体" w:cs="宋体"/>
                <w:spacing w:val="-11"/>
                <w:sz w:val="18"/>
                <w:szCs w:val="18"/>
                <w:lang w:val="en-US" w:eastAsia="zh-CN"/>
              </w:rPr>
              <w:t>5</w:t>
            </w:r>
          </w:p>
        </w:tc>
        <w:tc>
          <w:tcPr>
            <w:tcW w:w="0" w:type="auto"/>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contextualSpacing/>
              <w:jc w:val="both"/>
              <w:textAlignment w:val="auto"/>
              <w:rPr>
                <w:rFonts w:ascii="宋体" w:hAnsi="宋体" w:cs="宋体"/>
                <w:spacing w:val="-11"/>
                <w:sz w:val="18"/>
                <w:szCs w:val="18"/>
              </w:rPr>
            </w:pPr>
            <w:r>
              <w:rPr>
                <w:rFonts w:hint="eastAsia" w:ascii="宋体" w:hAnsi="宋体" w:cs="宋体"/>
                <w:spacing w:val="-11"/>
                <w:sz w:val="18"/>
                <w:szCs w:val="18"/>
              </w:rPr>
              <w:t>最高人民检察院《关于充分履行检察职能依法服务和保障粤港澳大湾区建设的意见》</w:t>
            </w:r>
          </w:p>
        </w:tc>
        <w:tc>
          <w:tcPr>
            <w:tcW w:w="0" w:type="auto"/>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contextualSpacing/>
              <w:jc w:val="both"/>
              <w:textAlignment w:val="auto"/>
              <w:rPr>
                <w:rFonts w:hint="eastAsia" w:ascii="宋体" w:hAnsi="宋体" w:eastAsia="宋体" w:cs="宋体"/>
                <w:spacing w:val="-11"/>
                <w:sz w:val="18"/>
                <w:szCs w:val="18"/>
                <w:lang w:eastAsia="zh-CN"/>
              </w:rPr>
            </w:pPr>
            <w:r>
              <w:rPr>
                <w:rFonts w:hint="eastAsia" w:ascii="宋体" w:hAnsi="宋体" w:cs="宋体"/>
                <w:spacing w:val="-11"/>
                <w:sz w:val="18"/>
                <w:szCs w:val="18"/>
              </w:rPr>
              <w:t>积极参与“蓝色海湾”整治</w:t>
            </w:r>
            <w:r>
              <w:rPr>
                <w:rFonts w:hint="eastAsia" w:ascii="宋体" w:hAnsi="宋体" w:cs="宋体"/>
                <w:spacing w:val="-11"/>
                <w:sz w:val="18"/>
                <w:szCs w:val="18"/>
                <w:lang w:eastAsia="zh-CN"/>
              </w:rPr>
              <w:t>，围绕人民群众关注的空气污染、水体质量、垃圾处理等民生热点积极作为，加强公益诉讼检察工作，加强重点领域生态系统保护监督。推动大湾区及周边地区保护生态环境区域执法司法协作联动机制建设。</w:t>
            </w:r>
          </w:p>
        </w:tc>
        <w:tc>
          <w:tcPr>
            <w:tcW w:w="0" w:type="auto"/>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contextualSpacing/>
              <w:jc w:val="center"/>
              <w:textAlignment w:val="auto"/>
              <w:rPr>
                <w:rFonts w:ascii="宋体" w:hAnsi="宋体" w:cs="宋体"/>
                <w:spacing w:val="-11"/>
                <w:sz w:val="18"/>
                <w:szCs w:val="18"/>
              </w:rPr>
            </w:pPr>
            <w:r>
              <w:rPr>
                <w:rFonts w:hint="eastAsia" w:ascii="宋体" w:hAnsi="宋体" w:cs="宋体"/>
                <w:spacing w:val="-11"/>
                <w:sz w:val="18"/>
                <w:szCs w:val="18"/>
              </w:rPr>
              <w:t>最高人民检察院</w:t>
            </w:r>
          </w:p>
        </w:tc>
        <w:tc>
          <w:tcPr>
            <w:tcW w:w="0" w:type="auto"/>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contextualSpacing/>
              <w:jc w:val="center"/>
              <w:textAlignment w:val="auto"/>
              <w:rPr>
                <w:rFonts w:ascii="宋体" w:hAnsi="宋体" w:cs="宋体"/>
                <w:spacing w:val="-11"/>
                <w:sz w:val="18"/>
                <w:szCs w:val="18"/>
              </w:rPr>
            </w:pPr>
            <w:r>
              <w:rPr>
                <w:rFonts w:hint="eastAsia" w:ascii="宋体" w:hAnsi="宋体" w:cs="宋体"/>
                <w:spacing w:val="-11"/>
                <w:sz w:val="18"/>
                <w:szCs w:val="18"/>
              </w:rPr>
              <w:t>2020.3.9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contextualSpacing/>
              <w:jc w:val="center"/>
              <w:textAlignment w:val="auto"/>
              <w:rPr>
                <w:rFonts w:hint="eastAsia" w:ascii="宋体" w:hAnsi="宋体" w:eastAsia="宋体" w:cs="宋体"/>
                <w:spacing w:val="-11"/>
                <w:sz w:val="18"/>
                <w:szCs w:val="18"/>
                <w:lang w:eastAsia="zh-CN"/>
              </w:rPr>
            </w:pPr>
            <w:r>
              <w:rPr>
                <w:rFonts w:hint="eastAsia" w:ascii="宋体" w:hAnsi="宋体" w:cs="宋体"/>
                <w:spacing w:val="-11"/>
                <w:sz w:val="18"/>
                <w:szCs w:val="18"/>
                <w:lang w:val="en-US" w:eastAsia="zh-CN"/>
              </w:rPr>
              <w:t>6</w:t>
            </w:r>
          </w:p>
        </w:tc>
        <w:tc>
          <w:tcPr>
            <w:tcW w:w="0" w:type="auto"/>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contextualSpacing/>
              <w:jc w:val="both"/>
              <w:textAlignment w:val="auto"/>
              <w:rPr>
                <w:rFonts w:ascii="宋体" w:hAnsi="宋体" w:cs="宋体"/>
                <w:spacing w:val="-11"/>
                <w:sz w:val="18"/>
                <w:szCs w:val="18"/>
              </w:rPr>
            </w:pPr>
            <w:r>
              <w:rPr>
                <w:rFonts w:hint="eastAsia" w:ascii="宋体" w:hAnsi="宋体" w:cs="宋体"/>
                <w:spacing w:val="-11"/>
                <w:sz w:val="18"/>
                <w:szCs w:val="18"/>
              </w:rPr>
              <w:t>广东省人民检察院《贯彻落实高检院服务保障粤港澳大湾区建设意见的分工方案》</w:t>
            </w:r>
          </w:p>
        </w:tc>
        <w:tc>
          <w:tcPr>
            <w:tcW w:w="0" w:type="auto"/>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contextualSpacing/>
              <w:jc w:val="both"/>
              <w:textAlignment w:val="auto"/>
              <w:rPr>
                <w:rFonts w:hint="eastAsia" w:ascii="宋体" w:hAnsi="宋体" w:eastAsia="宋体" w:cs="宋体"/>
                <w:spacing w:val="-11"/>
                <w:sz w:val="18"/>
                <w:szCs w:val="18"/>
                <w:lang w:eastAsia="zh-CN"/>
              </w:rPr>
            </w:pPr>
            <w:r>
              <w:rPr>
                <w:rFonts w:hint="eastAsia" w:ascii="宋体" w:hAnsi="宋体" w:cs="宋体"/>
                <w:spacing w:val="-11"/>
                <w:sz w:val="18"/>
                <w:szCs w:val="18"/>
              </w:rPr>
              <w:t>全省各级院党组要切实担当起责任</w:t>
            </w:r>
            <w:r>
              <w:rPr>
                <w:rFonts w:hint="eastAsia" w:ascii="宋体" w:hAnsi="宋体" w:cs="宋体"/>
                <w:spacing w:val="-11"/>
                <w:sz w:val="18"/>
                <w:szCs w:val="18"/>
                <w:lang w:eastAsia="zh-CN"/>
              </w:rPr>
              <w:t>，切实增强检察人员服务保障粤港澳大湾区建设的责任感和使命感，上级检察院要加强对下指导督察，把各项措施抓实抓细。</w:t>
            </w:r>
          </w:p>
        </w:tc>
        <w:tc>
          <w:tcPr>
            <w:tcW w:w="0" w:type="auto"/>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contextualSpacing/>
              <w:jc w:val="center"/>
              <w:textAlignment w:val="auto"/>
              <w:rPr>
                <w:rFonts w:ascii="宋体" w:hAnsi="宋体" w:cs="宋体"/>
                <w:spacing w:val="-11"/>
                <w:sz w:val="18"/>
                <w:szCs w:val="18"/>
              </w:rPr>
            </w:pPr>
            <w:r>
              <w:rPr>
                <w:rFonts w:hint="eastAsia" w:ascii="宋体" w:hAnsi="宋体" w:cs="宋体"/>
                <w:spacing w:val="-11"/>
                <w:sz w:val="18"/>
                <w:szCs w:val="18"/>
              </w:rPr>
              <w:t>广东省人民检察院</w:t>
            </w:r>
          </w:p>
        </w:tc>
        <w:tc>
          <w:tcPr>
            <w:tcW w:w="0" w:type="auto"/>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contextualSpacing/>
              <w:jc w:val="center"/>
              <w:textAlignment w:val="auto"/>
              <w:rPr>
                <w:rFonts w:ascii="宋体" w:hAnsi="宋体" w:cs="宋体"/>
                <w:spacing w:val="-11"/>
                <w:sz w:val="18"/>
                <w:szCs w:val="18"/>
              </w:rPr>
            </w:pPr>
            <w:r>
              <w:rPr>
                <w:rFonts w:hint="eastAsia" w:ascii="宋体" w:hAnsi="宋体" w:cs="宋体"/>
                <w:spacing w:val="-11"/>
                <w:sz w:val="18"/>
                <w:szCs w:val="18"/>
              </w:rPr>
              <w:t>2020.5.19</w:t>
            </w:r>
          </w:p>
        </w:tc>
      </w:tr>
    </w:tbl>
    <w:p>
      <w:pPr>
        <w:pStyle w:val="5"/>
        <w:keepNext w:val="0"/>
        <w:keepLines w:val="0"/>
        <w:pageBreakBefore w:val="0"/>
        <w:widowControl/>
        <w:kinsoku/>
        <w:wordWrap/>
        <w:overflowPunct/>
        <w:topLinePunct w:val="0"/>
        <w:autoSpaceDE/>
        <w:autoSpaceDN/>
        <w:bidi w:val="0"/>
        <w:adjustRightInd/>
        <w:snapToGrid/>
        <w:spacing w:line="360" w:lineRule="auto"/>
        <w:ind w:left="0" w:leftChars="0"/>
        <w:contextualSpacing/>
        <w:rPr>
          <w:rFonts w:ascii="宋体" w:hAnsi="宋体" w:cs="宋体"/>
          <w:sz w:val="21"/>
          <w:szCs w:val="21"/>
        </w:rPr>
      </w:pPr>
      <w:r>
        <w:rPr>
          <w:sz w:val="21"/>
          <w:szCs w:val="21"/>
        </w:rPr>
        <w:t>图</w:t>
      </w:r>
      <w:r>
        <w:rPr>
          <w:rFonts w:hint="eastAsia"/>
          <w:sz w:val="21"/>
          <w:szCs w:val="21"/>
        </w:rPr>
        <w:t>2：内地、香港、澳门涉及订立民事公益诉讼协作机制的部分文件规定内容</w:t>
      </w:r>
    </w:p>
    <w:p>
      <w:pPr>
        <w:keepNext w:val="0"/>
        <w:keepLines w:val="0"/>
        <w:pageBreakBefore w:val="0"/>
        <w:widowControl/>
        <w:kinsoku/>
        <w:wordWrap/>
        <w:overflowPunct/>
        <w:topLinePunct w:val="0"/>
        <w:autoSpaceDE/>
        <w:autoSpaceDN/>
        <w:bidi w:val="0"/>
        <w:adjustRightInd/>
        <w:snapToGrid/>
        <w:spacing w:line="360" w:lineRule="auto"/>
        <w:ind w:left="0" w:leftChars="0" w:firstLine="480" w:firstLineChars="200"/>
        <w:contextualSpacing/>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除了在内地、香港、澳门适用的《框架协议》、《规划纲要》以及在内地九市检察机关适用的广东省人民检察院《贯彻落实高检院服务保障粤港澳大湾区建设意见的分工方案外》，在前海合作区、横琴合作区、南沙合作区亦有相关的规定以及政策，为促进粤港澳三地更好地进行司法协助，以及更好地推动三地民事公益诉讼工作的发展提供了坚实的基础</w:t>
      </w:r>
      <w:r>
        <w:rPr>
          <w:rFonts w:hint="eastAsia" w:ascii="宋体" w:hAnsi="宋体" w:eastAsia="宋体" w:cs="宋体"/>
          <w:b w:val="0"/>
          <w:bCs w:val="0"/>
          <w:kern w:val="2"/>
          <w:sz w:val="24"/>
          <w:szCs w:val="24"/>
          <w:vertAlign w:val="superscript"/>
          <w:lang w:val="en-US" w:eastAsia="zh-CN" w:bidi="ar-SA"/>
        </w:rPr>
        <w:footnoteReference w:id="23"/>
      </w:r>
      <w:r>
        <w:rPr>
          <w:rFonts w:hint="eastAsia" w:ascii="宋体" w:hAnsi="宋体" w:eastAsia="宋体" w:cs="宋体"/>
          <w:b w:val="0"/>
          <w:bCs w:val="0"/>
          <w:kern w:val="2"/>
          <w:sz w:val="24"/>
          <w:szCs w:val="24"/>
          <w:lang w:val="en-US" w:eastAsia="zh-CN" w:bidi="ar-SA"/>
        </w:rPr>
        <w:t>。</w:t>
      </w:r>
    </w:p>
    <w:p>
      <w:pPr>
        <w:keepNext w:val="0"/>
        <w:keepLines w:val="0"/>
        <w:pageBreakBefore w:val="0"/>
        <w:widowControl/>
        <w:kinsoku/>
        <w:wordWrap/>
        <w:overflowPunct/>
        <w:topLinePunct w:val="0"/>
        <w:autoSpaceDE/>
        <w:autoSpaceDN/>
        <w:bidi w:val="0"/>
        <w:adjustRightInd/>
        <w:snapToGrid/>
        <w:spacing w:line="360" w:lineRule="auto"/>
        <w:ind w:firstLine="560" w:firstLineChars="200"/>
        <w:rPr>
          <w:rFonts w:hint="eastAsia" w:ascii="黑体" w:hAnsi="黑体" w:eastAsia="黑体" w:cs="黑体"/>
          <w:bCs w:val="0"/>
          <w:kern w:val="2"/>
          <w:sz w:val="28"/>
          <w:szCs w:val="28"/>
          <w:lang w:val="en-US" w:eastAsia="zh-CN" w:bidi="ar-SA"/>
        </w:rPr>
      </w:pPr>
      <w:r>
        <w:rPr>
          <w:rFonts w:hint="eastAsia" w:ascii="黑体" w:hAnsi="黑体" w:eastAsia="黑体" w:cs="黑体"/>
          <w:bCs w:val="0"/>
          <w:kern w:val="2"/>
          <w:sz w:val="28"/>
          <w:szCs w:val="28"/>
          <w:lang w:val="en-US" w:eastAsia="zh-CN" w:bidi="ar-SA"/>
        </w:rPr>
        <w:t xml:space="preserve">（四）实践基础 </w:t>
      </w:r>
    </w:p>
    <w:p>
      <w:pPr>
        <w:keepNext w:val="0"/>
        <w:keepLines w:val="0"/>
        <w:pageBreakBefore w:val="0"/>
        <w:widowControl/>
        <w:kinsoku/>
        <w:wordWrap/>
        <w:overflowPunct/>
        <w:topLinePunct w:val="0"/>
        <w:autoSpaceDE/>
        <w:autoSpaceDN/>
        <w:bidi w:val="0"/>
        <w:adjustRightInd/>
        <w:snapToGrid/>
        <w:spacing w:line="360" w:lineRule="auto"/>
        <w:ind w:left="0" w:leftChars="0" w:firstLine="480" w:firstLineChars="200"/>
        <w:contextualSpacing/>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法治建设是大湾区建设的重要组成部分，高质量推进粤港澳大湾区建设，对大湾区法治建设提出了新的更高要求。自改革开放以来，特别是香港、澳门回归以来，内地与港澳的经济社会的合作交往密不可分。特别是在粤港澳大湾区成立以来，在长期的合作、交往过程中，在行政、司法等领域，在相互协作配合的实践中，已经形成了很多行之有效的规则，达成了很多共识，为粤港澳大湾区民事公益诉讼协作机制的建立和完善提供了实践样本。</w:t>
      </w:r>
    </w:p>
    <w:p>
      <w:pPr>
        <w:keepNext w:val="0"/>
        <w:keepLines w:val="0"/>
        <w:pageBreakBefore w:val="0"/>
        <w:widowControl/>
        <w:numPr>
          <w:ilvl w:val="0"/>
          <w:numId w:val="0"/>
        </w:numPr>
        <w:kinsoku/>
        <w:wordWrap/>
        <w:overflowPunct/>
        <w:topLinePunct w:val="0"/>
        <w:autoSpaceDE/>
        <w:autoSpaceDN/>
        <w:bidi w:val="0"/>
        <w:adjustRightInd/>
        <w:snapToGrid/>
        <w:spacing w:line="360" w:lineRule="auto"/>
        <w:ind w:firstLine="480" w:firstLineChars="200"/>
        <w:rPr>
          <w:rFonts w:hint="eastAsia" w:ascii="黑体" w:hAnsi="黑体" w:eastAsia="黑体" w:cs="黑体"/>
          <w:sz w:val="24"/>
          <w:szCs w:val="24"/>
        </w:rPr>
      </w:pPr>
      <w:r>
        <w:rPr>
          <w:rFonts w:hint="eastAsia" w:ascii="黑体" w:hAnsi="黑体" w:eastAsia="黑体" w:cs="黑体"/>
          <w:sz w:val="24"/>
          <w:szCs w:val="24"/>
        </w:rPr>
        <w:t>1.关于内地九市民事公益诉讼工作的协作实践</w:t>
      </w:r>
    </w:p>
    <w:p>
      <w:pPr>
        <w:keepNext w:val="0"/>
        <w:keepLines w:val="0"/>
        <w:pageBreakBefore w:val="0"/>
        <w:widowControl/>
        <w:kinsoku/>
        <w:wordWrap/>
        <w:overflowPunct/>
        <w:topLinePunct w:val="0"/>
        <w:autoSpaceDE/>
        <w:autoSpaceDN/>
        <w:bidi w:val="0"/>
        <w:adjustRightInd/>
        <w:snapToGrid/>
        <w:spacing w:line="360" w:lineRule="auto"/>
        <w:ind w:left="0" w:leftChars="0" w:firstLine="480" w:firstLineChars="200"/>
        <w:contextualSpacing/>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在粤港澳大湾区建设中，民事公益诉讼协作特别是粤港澳大湾区内地九市的协作迎来了更有利的时机和条件。不同地市的检察机关有了共同的发展目标和工作要求，有利于进一步统一思想认识，打破地域限制思维和地方利益保护主义，为最终形成跨地域协作凝聚良好了思想共识。内地九市检察机关全面建立跨行政区划、军地、“司法+行政+监察”等协作机制，签订相关文件200余份，共同加强粤港澳大湾区即周边地区的海洋、河流、湖泊、森林等综合治理保护</w:t>
      </w:r>
      <w:r>
        <w:rPr>
          <w:rFonts w:hint="eastAsia" w:ascii="宋体" w:hAnsi="宋体" w:eastAsia="宋体" w:cs="宋体"/>
          <w:b w:val="0"/>
          <w:bCs w:val="0"/>
          <w:kern w:val="2"/>
          <w:sz w:val="24"/>
          <w:szCs w:val="24"/>
          <w:vertAlign w:val="superscript"/>
          <w:lang w:val="en-US" w:eastAsia="zh-CN" w:bidi="ar-SA"/>
        </w:rPr>
        <w:footnoteReference w:id="24"/>
      </w:r>
      <w:r>
        <w:rPr>
          <w:rFonts w:hint="eastAsia" w:ascii="宋体" w:hAnsi="宋体" w:eastAsia="宋体" w:cs="宋体"/>
          <w:b w:val="0"/>
          <w:bCs w:val="0"/>
          <w:kern w:val="2"/>
          <w:sz w:val="24"/>
          <w:szCs w:val="24"/>
          <w:lang w:val="en-US" w:eastAsia="zh-CN" w:bidi="ar-SA"/>
        </w:rPr>
        <w:t>。如，广州、深圳市人民检察院签署的《服务大湾区法治建设合作框架》；广州、深圳、佛山、东莞市人民检察院签署的《保护珠江生态环境和自然资源公益诉讼协作机制》；广东自贸区前海、南沙、横琴三片区检察机关会签《广东自由贸易试验区海洋生态硬环境保护检察公益诉讼协作工作意见》；深圳、惠州市人民检察院签署的《大鹏湾—大亚湾区域安县即海域生态环境与自然资源公益诉讼检察跨区域协作机制》；广州从化、惠州龙门、韶关新丰、清远佛冈签订并启动了《粤港澳大湾区背部生态环境和自然资源联合保护机制》等。上述协作机制的内容，主要包含了案件管辖、线索移送、统一标准、加强跨区域办案协作、搭建信息共享平台、加强前期取证、建立联席会议机制、开展业务学习交流、形成宣传合力等多个方面，为“美丽湾区”保驾护航。</w:t>
      </w:r>
    </w:p>
    <w:p>
      <w:pPr>
        <w:keepNext w:val="0"/>
        <w:keepLines w:val="0"/>
        <w:pageBreakBefore w:val="0"/>
        <w:widowControl/>
        <w:kinsoku/>
        <w:wordWrap/>
        <w:overflowPunct/>
        <w:topLinePunct w:val="0"/>
        <w:autoSpaceDE/>
        <w:autoSpaceDN/>
        <w:bidi w:val="0"/>
        <w:adjustRightInd/>
        <w:snapToGrid/>
        <w:spacing w:line="360" w:lineRule="auto"/>
        <w:ind w:left="0" w:leftChars="0" w:firstLine="480" w:firstLineChars="200"/>
        <w:contextualSpacing/>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与此同时，经过内地九市检察机关的努力，已经成功办理了一批涉粤港澳的民事公益诉讼案件。如，在2018年末，珠海市人民检察院作为支持起诉人办理了一起涉粤港澳大湾区污染环境民事公益诉讼案。该案的被告温某波等5人在一起涉粤港澳大湾区海域倾倒垃圾，倾倒事件涉及中山、东莞、珠海等多地，社会影响非常大。本案由广州海事法院审理，于2021年2月24日作出了判决</w:t>
      </w:r>
      <w:r>
        <w:rPr>
          <w:rFonts w:hint="eastAsia" w:ascii="宋体" w:hAnsi="宋体" w:eastAsia="宋体" w:cs="宋体"/>
          <w:b w:val="0"/>
          <w:bCs w:val="0"/>
          <w:kern w:val="2"/>
          <w:sz w:val="24"/>
          <w:szCs w:val="24"/>
          <w:vertAlign w:val="superscript"/>
          <w:lang w:val="en-US" w:eastAsia="zh-CN" w:bidi="ar-SA"/>
        </w:rPr>
        <w:footnoteReference w:id="25"/>
      </w:r>
      <w:r>
        <w:rPr>
          <w:rFonts w:hint="eastAsia" w:ascii="宋体" w:hAnsi="宋体" w:eastAsia="宋体" w:cs="宋体"/>
          <w:b w:val="0"/>
          <w:bCs w:val="0"/>
          <w:kern w:val="2"/>
          <w:sz w:val="24"/>
          <w:szCs w:val="24"/>
          <w:lang w:val="en-US" w:eastAsia="zh-CN" w:bidi="ar-SA"/>
        </w:rPr>
        <w:t>。又如，中山市检察机关支持中山市海洋与渔业局诉彭某等污染海洋环境责任纠纷案</w:t>
      </w:r>
      <w:r>
        <w:rPr>
          <w:rStyle w:val="12"/>
          <w:rFonts w:hint="eastAsia" w:ascii="宋体" w:hAnsi="宋体" w:eastAsia="宋体" w:cs="宋体"/>
          <w:b w:val="0"/>
          <w:bCs w:val="0"/>
          <w:kern w:val="2"/>
          <w:sz w:val="24"/>
          <w:szCs w:val="24"/>
          <w:lang w:val="en-US" w:eastAsia="zh-CN" w:bidi="ar-SA"/>
        </w:rPr>
        <w:footnoteReference w:id="26"/>
      </w:r>
      <w:r>
        <w:rPr>
          <w:rFonts w:hint="eastAsia" w:ascii="宋体" w:hAnsi="宋体" w:eastAsia="宋体" w:cs="宋体"/>
          <w:b w:val="0"/>
          <w:bCs w:val="0"/>
          <w:kern w:val="2"/>
          <w:sz w:val="24"/>
          <w:szCs w:val="24"/>
          <w:lang w:val="en-US" w:eastAsia="zh-CN" w:bidi="ar-SA"/>
        </w:rPr>
        <w:t>，该案例还入选了广东省高级人民法院粤港澳大湾区跨境纠纷典型案例。</w:t>
      </w:r>
    </w:p>
    <w:p>
      <w:pPr>
        <w:keepNext w:val="0"/>
        <w:keepLines w:val="0"/>
        <w:pageBreakBefore w:val="0"/>
        <w:widowControl/>
        <w:numPr>
          <w:ilvl w:val="0"/>
          <w:numId w:val="0"/>
        </w:numPr>
        <w:kinsoku/>
        <w:wordWrap/>
        <w:overflowPunct/>
        <w:topLinePunct w:val="0"/>
        <w:autoSpaceDE/>
        <w:autoSpaceDN/>
        <w:bidi w:val="0"/>
        <w:adjustRightInd/>
        <w:snapToGrid/>
        <w:spacing w:line="360" w:lineRule="auto"/>
        <w:ind w:firstLine="480" w:firstLineChars="200"/>
        <w:rPr>
          <w:rFonts w:hint="eastAsia" w:ascii="黑体" w:hAnsi="黑体" w:eastAsia="黑体" w:cs="黑体"/>
          <w:sz w:val="24"/>
          <w:szCs w:val="24"/>
          <w:lang w:val="en-US" w:eastAsia="zh-CN"/>
        </w:rPr>
      </w:pPr>
      <w:r>
        <w:rPr>
          <w:rFonts w:hint="eastAsia" w:ascii="黑体" w:hAnsi="黑体" w:eastAsia="黑体" w:cs="黑体"/>
          <w:sz w:val="24"/>
          <w:szCs w:val="24"/>
          <w:lang w:val="en-US" w:eastAsia="zh-CN"/>
        </w:rPr>
        <w:t>2.内地与香港、澳门在民事领域协作实践</w:t>
      </w:r>
    </w:p>
    <w:p>
      <w:pPr>
        <w:keepNext w:val="0"/>
        <w:keepLines w:val="0"/>
        <w:pageBreakBefore w:val="0"/>
        <w:widowControl/>
        <w:kinsoku/>
        <w:wordWrap/>
        <w:overflowPunct/>
        <w:topLinePunct w:val="0"/>
        <w:autoSpaceDE/>
        <w:autoSpaceDN/>
        <w:bidi w:val="0"/>
        <w:adjustRightInd/>
        <w:snapToGrid/>
        <w:spacing w:line="360" w:lineRule="auto"/>
        <w:ind w:left="0" w:leftChars="0" w:firstLine="480" w:firstLineChars="200"/>
        <w:contextualSpacing/>
        <w:rPr>
          <w:rFonts w:ascii="宋体" w:hAnsi="宋体" w:cs="宋体"/>
          <w:sz w:val="24"/>
          <w:szCs w:val="24"/>
        </w:rPr>
      </w:pPr>
      <w:r>
        <w:rPr>
          <w:rFonts w:hint="eastAsia" w:ascii="宋体" w:hAnsi="宋体" w:eastAsia="宋体" w:cs="宋体"/>
          <w:b w:val="0"/>
          <w:bCs w:val="0"/>
          <w:kern w:val="2"/>
          <w:sz w:val="24"/>
          <w:szCs w:val="24"/>
          <w:lang w:val="en-US" w:eastAsia="zh-CN" w:bidi="ar-SA"/>
        </w:rPr>
        <w:t>面对粤港澳三地法律制度及其司法体系的不同，为解决跨区域法律适用中法律冲突的问题，在港澳回归后，粤港澳三地司法机关积极探索，通过司法协助解决实际问题，更好满足经济社会发展中的司法需求。特别在民商事领域，分别通过最高人民法院发布司法解释、香港完成本地立法、澳门直接刊宪等方式，完成三地法律的衔接，从而建立起具有中国特色的区际司法协助体系</w:t>
      </w:r>
      <w:r>
        <w:rPr>
          <w:rFonts w:hint="eastAsia" w:ascii="宋体" w:hAnsi="宋体" w:eastAsia="宋体" w:cs="宋体"/>
          <w:b w:val="0"/>
          <w:bCs w:val="0"/>
          <w:kern w:val="2"/>
          <w:sz w:val="24"/>
          <w:szCs w:val="24"/>
          <w:vertAlign w:val="superscript"/>
          <w:lang w:val="en-US" w:eastAsia="zh-CN" w:bidi="ar-SA"/>
        </w:rPr>
        <w:footnoteReference w:id="27"/>
      </w:r>
      <w:r>
        <w:rPr>
          <w:rFonts w:hint="eastAsia" w:ascii="宋体" w:hAnsi="宋体" w:eastAsia="宋体" w:cs="宋体"/>
          <w:b w:val="0"/>
          <w:bCs w:val="0"/>
          <w:kern w:val="2"/>
          <w:sz w:val="24"/>
          <w:szCs w:val="24"/>
          <w:lang w:val="en-US" w:eastAsia="zh-CN" w:bidi="ar-SA"/>
        </w:rPr>
        <w:t>。</w:t>
      </w:r>
    </w:p>
    <w:tbl>
      <w:tblPr>
        <w:tblStyle w:val="1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26"/>
        <w:gridCol w:w="5291"/>
        <w:gridCol w:w="1380"/>
        <w:gridCol w:w="13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trPr>
        <w:tc>
          <w:tcPr>
            <w:tcW w:w="0" w:type="auto"/>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contextualSpacing/>
              <w:jc w:val="center"/>
              <w:textAlignment w:val="auto"/>
              <w:rPr>
                <w:rFonts w:ascii="宋体" w:hAnsi="宋体" w:cs="宋体"/>
                <w:spacing w:val="-4"/>
                <w:sz w:val="18"/>
                <w:szCs w:val="18"/>
              </w:rPr>
            </w:pPr>
            <w:r>
              <w:rPr>
                <w:rFonts w:hint="eastAsia" w:ascii="宋体" w:hAnsi="宋体" w:cs="宋体"/>
                <w:spacing w:val="-4"/>
                <w:sz w:val="18"/>
                <w:szCs w:val="18"/>
              </w:rPr>
              <w:t>序号</w:t>
            </w:r>
          </w:p>
        </w:tc>
        <w:tc>
          <w:tcPr>
            <w:tcW w:w="5291"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contextualSpacing/>
              <w:jc w:val="center"/>
              <w:textAlignment w:val="auto"/>
              <w:rPr>
                <w:rFonts w:ascii="宋体" w:hAnsi="宋体" w:cs="宋体"/>
                <w:spacing w:val="0"/>
                <w:sz w:val="18"/>
                <w:szCs w:val="18"/>
              </w:rPr>
            </w:pPr>
            <w:r>
              <w:rPr>
                <w:rFonts w:hint="eastAsia" w:ascii="宋体" w:hAnsi="宋体" w:cs="宋体"/>
                <w:spacing w:val="0"/>
                <w:sz w:val="18"/>
                <w:szCs w:val="18"/>
              </w:rPr>
              <w:t>名称</w:t>
            </w:r>
          </w:p>
        </w:tc>
        <w:tc>
          <w:tcPr>
            <w:tcW w:w="1380"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contextualSpacing/>
              <w:jc w:val="center"/>
              <w:textAlignment w:val="auto"/>
              <w:rPr>
                <w:rFonts w:ascii="宋体" w:hAnsi="宋体" w:cs="宋体"/>
                <w:spacing w:val="-4"/>
                <w:sz w:val="18"/>
                <w:szCs w:val="18"/>
              </w:rPr>
            </w:pPr>
            <w:r>
              <w:rPr>
                <w:rFonts w:hint="eastAsia" w:ascii="宋体" w:hAnsi="宋体" w:cs="宋体"/>
                <w:spacing w:val="-4"/>
                <w:sz w:val="18"/>
                <w:szCs w:val="18"/>
              </w:rPr>
              <w:t>签订地</w:t>
            </w:r>
          </w:p>
        </w:tc>
        <w:tc>
          <w:tcPr>
            <w:tcW w:w="1325"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contextualSpacing/>
              <w:jc w:val="center"/>
              <w:textAlignment w:val="auto"/>
              <w:rPr>
                <w:rFonts w:ascii="宋体" w:hAnsi="宋体" w:cs="宋体"/>
                <w:spacing w:val="-4"/>
                <w:sz w:val="18"/>
                <w:szCs w:val="18"/>
              </w:rPr>
            </w:pPr>
            <w:r>
              <w:rPr>
                <w:rFonts w:hint="eastAsia" w:ascii="宋体" w:hAnsi="宋体" w:cs="宋体"/>
                <w:spacing w:val="-4"/>
                <w:sz w:val="18"/>
                <w:szCs w:val="18"/>
              </w:rPr>
              <w:t>制定日期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trPr>
        <w:tc>
          <w:tcPr>
            <w:tcW w:w="0" w:type="auto"/>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contextualSpacing/>
              <w:jc w:val="center"/>
              <w:textAlignment w:val="auto"/>
              <w:rPr>
                <w:rFonts w:ascii="宋体" w:hAnsi="宋体" w:cs="宋体"/>
                <w:spacing w:val="-4"/>
                <w:sz w:val="18"/>
                <w:szCs w:val="18"/>
              </w:rPr>
            </w:pPr>
            <w:r>
              <w:rPr>
                <w:rFonts w:hint="eastAsia" w:ascii="宋体" w:hAnsi="宋体" w:cs="宋体"/>
                <w:spacing w:val="-4"/>
                <w:sz w:val="18"/>
                <w:szCs w:val="18"/>
              </w:rPr>
              <w:t>1</w:t>
            </w:r>
          </w:p>
        </w:tc>
        <w:tc>
          <w:tcPr>
            <w:tcW w:w="5291"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contextualSpacing/>
              <w:jc w:val="left"/>
              <w:textAlignment w:val="auto"/>
              <w:rPr>
                <w:rFonts w:ascii="宋体" w:hAnsi="宋体" w:cs="宋体"/>
                <w:spacing w:val="0"/>
                <w:sz w:val="18"/>
                <w:szCs w:val="18"/>
              </w:rPr>
            </w:pPr>
            <w:r>
              <w:rPr>
                <w:rFonts w:hint="eastAsia" w:ascii="宋体" w:hAnsi="宋体" w:cs="宋体"/>
                <w:spacing w:val="0"/>
                <w:sz w:val="18"/>
                <w:szCs w:val="18"/>
              </w:rPr>
              <w:t>《内地与香港特别行政区法院互相委托民商事司法文书的安排》</w:t>
            </w:r>
          </w:p>
        </w:tc>
        <w:tc>
          <w:tcPr>
            <w:tcW w:w="1380"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contextualSpacing/>
              <w:jc w:val="center"/>
              <w:textAlignment w:val="auto"/>
              <w:rPr>
                <w:rFonts w:ascii="宋体" w:hAnsi="宋体" w:cs="宋体"/>
                <w:spacing w:val="-4"/>
                <w:sz w:val="18"/>
                <w:szCs w:val="18"/>
              </w:rPr>
            </w:pPr>
            <w:r>
              <w:rPr>
                <w:rFonts w:hint="eastAsia" w:ascii="宋体" w:hAnsi="宋体" w:cs="宋体"/>
                <w:spacing w:val="-4"/>
                <w:sz w:val="18"/>
                <w:szCs w:val="18"/>
              </w:rPr>
              <w:t>内地、香港</w:t>
            </w:r>
          </w:p>
        </w:tc>
        <w:tc>
          <w:tcPr>
            <w:tcW w:w="1325"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contextualSpacing/>
              <w:jc w:val="center"/>
              <w:textAlignment w:val="auto"/>
              <w:rPr>
                <w:rFonts w:ascii="宋体" w:hAnsi="宋体" w:cs="宋体"/>
                <w:spacing w:val="-4"/>
                <w:sz w:val="18"/>
                <w:szCs w:val="18"/>
              </w:rPr>
            </w:pPr>
            <w:r>
              <w:rPr>
                <w:rFonts w:hint="eastAsia" w:ascii="宋体" w:hAnsi="宋体" w:cs="宋体"/>
                <w:spacing w:val="-4"/>
                <w:sz w:val="18"/>
                <w:szCs w:val="18"/>
              </w:rPr>
              <w:t>1999.1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trPr>
        <w:tc>
          <w:tcPr>
            <w:tcW w:w="0" w:type="auto"/>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contextualSpacing/>
              <w:jc w:val="center"/>
              <w:textAlignment w:val="auto"/>
              <w:rPr>
                <w:rFonts w:ascii="宋体" w:hAnsi="宋体" w:cs="宋体"/>
                <w:spacing w:val="-4"/>
                <w:sz w:val="18"/>
                <w:szCs w:val="18"/>
              </w:rPr>
            </w:pPr>
            <w:r>
              <w:rPr>
                <w:rFonts w:hint="eastAsia" w:ascii="宋体" w:hAnsi="宋体" w:cs="宋体"/>
                <w:spacing w:val="-4"/>
                <w:sz w:val="18"/>
                <w:szCs w:val="18"/>
              </w:rPr>
              <w:t>2</w:t>
            </w:r>
          </w:p>
        </w:tc>
        <w:tc>
          <w:tcPr>
            <w:tcW w:w="5291"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contextualSpacing/>
              <w:jc w:val="left"/>
              <w:textAlignment w:val="auto"/>
              <w:rPr>
                <w:rFonts w:ascii="宋体" w:hAnsi="宋体" w:cs="宋体"/>
                <w:spacing w:val="0"/>
                <w:sz w:val="18"/>
                <w:szCs w:val="18"/>
              </w:rPr>
            </w:pPr>
            <w:r>
              <w:rPr>
                <w:rFonts w:hint="eastAsia" w:ascii="宋体" w:hAnsi="宋体" w:cs="宋体"/>
                <w:spacing w:val="0"/>
                <w:sz w:val="18"/>
                <w:szCs w:val="18"/>
              </w:rPr>
              <w:t>《内地与香港特别行政区法院相互执行仲裁裁决的安排》</w:t>
            </w:r>
          </w:p>
        </w:tc>
        <w:tc>
          <w:tcPr>
            <w:tcW w:w="1380"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contextualSpacing/>
              <w:jc w:val="center"/>
              <w:textAlignment w:val="auto"/>
              <w:rPr>
                <w:rFonts w:ascii="宋体" w:hAnsi="宋体" w:cs="宋体"/>
                <w:spacing w:val="-4"/>
                <w:sz w:val="18"/>
                <w:szCs w:val="18"/>
              </w:rPr>
            </w:pPr>
            <w:r>
              <w:rPr>
                <w:rFonts w:hint="eastAsia" w:ascii="宋体" w:hAnsi="宋体" w:cs="宋体"/>
                <w:spacing w:val="-4"/>
                <w:sz w:val="18"/>
                <w:szCs w:val="18"/>
              </w:rPr>
              <w:t>内地、香港</w:t>
            </w:r>
          </w:p>
        </w:tc>
        <w:tc>
          <w:tcPr>
            <w:tcW w:w="1325"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contextualSpacing/>
              <w:jc w:val="center"/>
              <w:textAlignment w:val="auto"/>
              <w:rPr>
                <w:rFonts w:ascii="宋体" w:hAnsi="宋体" w:cs="宋体"/>
                <w:color w:val="000000"/>
                <w:spacing w:val="-4"/>
                <w:sz w:val="18"/>
                <w:szCs w:val="18"/>
                <w:shd w:val="clear" w:color="auto" w:fill="FFFFFF"/>
              </w:rPr>
            </w:pPr>
            <w:r>
              <w:rPr>
                <w:rFonts w:hint="eastAsia" w:ascii="宋体" w:hAnsi="宋体" w:cs="宋体"/>
                <w:spacing w:val="-4"/>
                <w:sz w:val="18"/>
                <w:szCs w:val="18"/>
              </w:rPr>
              <w:t>1999.6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trPr>
        <w:tc>
          <w:tcPr>
            <w:tcW w:w="0" w:type="auto"/>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contextualSpacing/>
              <w:jc w:val="center"/>
              <w:textAlignment w:val="auto"/>
              <w:rPr>
                <w:rFonts w:ascii="宋体" w:hAnsi="宋体" w:cs="宋体"/>
                <w:spacing w:val="-4"/>
                <w:sz w:val="18"/>
                <w:szCs w:val="18"/>
              </w:rPr>
            </w:pPr>
            <w:r>
              <w:rPr>
                <w:rFonts w:hint="eastAsia" w:ascii="宋体" w:hAnsi="宋体" w:cs="宋体"/>
                <w:spacing w:val="-4"/>
                <w:sz w:val="18"/>
                <w:szCs w:val="18"/>
              </w:rPr>
              <w:t>3</w:t>
            </w:r>
          </w:p>
        </w:tc>
        <w:tc>
          <w:tcPr>
            <w:tcW w:w="5291"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contextualSpacing/>
              <w:jc w:val="left"/>
              <w:textAlignment w:val="auto"/>
              <w:rPr>
                <w:rFonts w:ascii="宋体" w:hAnsi="宋体" w:cs="宋体"/>
                <w:spacing w:val="0"/>
                <w:sz w:val="18"/>
                <w:szCs w:val="18"/>
              </w:rPr>
            </w:pPr>
            <w:r>
              <w:rPr>
                <w:rFonts w:hint="eastAsia" w:ascii="宋体" w:hAnsi="宋体" w:cs="宋体"/>
                <w:spacing w:val="0"/>
                <w:sz w:val="18"/>
                <w:szCs w:val="18"/>
              </w:rPr>
              <w:t>《内地与香港特别行政区法院互相认可和执行当事人协议管辖的民商事案件判决的安排》</w:t>
            </w:r>
          </w:p>
        </w:tc>
        <w:tc>
          <w:tcPr>
            <w:tcW w:w="1380"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contextualSpacing/>
              <w:jc w:val="center"/>
              <w:textAlignment w:val="auto"/>
              <w:rPr>
                <w:rFonts w:ascii="宋体" w:hAnsi="宋体" w:cs="宋体"/>
                <w:spacing w:val="-4"/>
                <w:sz w:val="18"/>
                <w:szCs w:val="18"/>
              </w:rPr>
            </w:pPr>
            <w:r>
              <w:rPr>
                <w:rFonts w:hint="eastAsia" w:ascii="宋体" w:hAnsi="宋体" w:cs="宋体"/>
                <w:spacing w:val="-4"/>
                <w:sz w:val="18"/>
                <w:szCs w:val="18"/>
              </w:rPr>
              <w:t>内地、香港</w:t>
            </w:r>
          </w:p>
        </w:tc>
        <w:tc>
          <w:tcPr>
            <w:tcW w:w="1325"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contextualSpacing/>
              <w:jc w:val="center"/>
              <w:textAlignment w:val="auto"/>
              <w:rPr>
                <w:rFonts w:ascii="宋体" w:hAnsi="宋体" w:cs="宋体"/>
                <w:spacing w:val="-4"/>
                <w:sz w:val="18"/>
                <w:szCs w:val="18"/>
              </w:rPr>
            </w:pPr>
            <w:r>
              <w:rPr>
                <w:rFonts w:hint="eastAsia" w:ascii="宋体" w:hAnsi="宋体" w:cs="宋体"/>
                <w:spacing w:val="-4"/>
                <w:sz w:val="18"/>
                <w:szCs w:val="18"/>
              </w:rPr>
              <w:t>2006.7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trPr>
        <w:tc>
          <w:tcPr>
            <w:tcW w:w="0" w:type="auto"/>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contextualSpacing/>
              <w:jc w:val="center"/>
              <w:textAlignment w:val="auto"/>
              <w:rPr>
                <w:rFonts w:ascii="宋体" w:hAnsi="宋体" w:cs="宋体"/>
                <w:spacing w:val="-4"/>
                <w:sz w:val="18"/>
                <w:szCs w:val="18"/>
              </w:rPr>
            </w:pPr>
            <w:r>
              <w:rPr>
                <w:rFonts w:hint="eastAsia" w:ascii="宋体" w:hAnsi="宋体" w:cs="宋体"/>
                <w:spacing w:val="-4"/>
                <w:sz w:val="18"/>
                <w:szCs w:val="18"/>
              </w:rPr>
              <w:t>4</w:t>
            </w:r>
          </w:p>
        </w:tc>
        <w:tc>
          <w:tcPr>
            <w:tcW w:w="5291"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contextualSpacing/>
              <w:jc w:val="left"/>
              <w:textAlignment w:val="auto"/>
              <w:rPr>
                <w:rFonts w:ascii="宋体" w:hAnsi="宋体" w:cs="宋体"/>
                <w:spacing w:val="0"/>
                <w:sz w:val="18"/>
                <w:szCs w:val="18"/>
              </w:rPr>
            </w:pPr>
            <w:r>
              <w:rPr>
                <w:rFonts w:hint="eastAsia" w:ascii="宋体" w:hAnsi="宋体" w:cs="宋体"/>
                <w:spacing w:val="0"/>
                <w:sz w:val="18"/>
                <w:szCs w:val="18"/>
              </w:rPr>
              <w:t>《关于内地与香港特别行政区法院就民商事案件相互委托调取证据的安排》</w:t>
            </w:r>
          </w:p>
        </w:tc>
        <w:tc>
          <w:tcPr>
            <w:tcW w:w="1380"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contextualSpacing/>
              <w:jc w:val="center"/>
              <w:textAlignment w:val="auto"/>
              <w:rPr>
                <w:rFonts w:ascii="宋体" w:hAnsi="宋体" w:cs="宋体"/>
                <w:spacing w:val="-4"/>
                <w:sz w:val="18"/>
                <w:szCs w:val="18"/>
              </w:rPr>
            </w:pPr>
            <w:r>
              <w:rPr>
                <w:rFonts w:hint="eastAsia" w:ascii="宋体" w:hAnsi="宋体" w:cs="宋体"/>
                <w:spacing w:val="-4"/>
                <w:sz w:val="18"/>
                <w:szCs w:val="18"/>
              </w:rPr>
              <w:t>内地、香港</w:t>
            </w:r>
          </w:p>
        </w:tc>
        <w:tc>
          <w:tcPr>
            <w:tcW w:w="1325"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contextualSpacing/>
              <w:jc w:val="center"/>
              <w:textAlignment w:val="auto"/>
              <w:rPr>
                <w:rFonts w:ascii="宋体" w:hAnsi="宋体" w:cs="宋体"/>
                <w:spacing w:val="-4"/>
                <w:sz w:val="18"/>
                <w:szCs w:val="18"/>
              </w:rPr>
            </w:pPr>
            <w:r>
              <w:rPr>
                <w:rFonts w:hint="eastAsia" w:ascii="宋体" w:hAnsi="宋体" w:cs="宋体"/>
                <w:spacing w:val="-4"/>
                <w:sz w:val="18"/>
                <w:szCs w:val="18"/>
              </w:rPr>
              <w:t>2016.12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trPr>
        <w:tc>
          <w:tcPr>
            <w:tcW w:w="0" w:type="auto"/>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contextualSpacing/>
              <w:jc w:val="center"/>
              <w:textAlignment w:val="auto"/>
              <w:rPr>
                <w:rFonts w:ascii="宋体" w:hAnsi="宋体" w:cs="宋体"/>
                <w:spacing w:val="-4"/>
                <w:sz w:val="18"/>
                <w:szCs w:val="18"/>
              </w:rPr>
            </w:pPr>
            <w:r>
              <w:rPr>
                <w:rFonts w:hint="eastAsia" w:ascii="宋体" w:hAnsi="宋体" w:cs="宋体"/>
                <w:spacing w:val="-4"/>
                <w:sz w:val="18"/>
                <w:szCs w:val="18"/>
              </w:rPr>
              <w:t>5</w:t>
            </w:r>
          </w:p>
        </w:tc>
        <w:tc>
          <w:tcPr>
            <w:tcW w:w="5291"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contextualSpacing/>
              <w:jc w:val="left"/>
              <w:textAlignment w:val="auto"/>
              <w:rPr>
                <w:rFonts w:ascii="宋体" w:hAnsi="宋体" w:cs="宋体"/>
                <w:spacing w:val="0"/>
                <w:sz w:val="18"/>
                <w:szCs w:val="18"/>
              </w:rPr>
            </w:pPr>
            <w:r>
              <w:rPr>
                <w:rFonts w:hint="eastAsia" w:ascii="宋体" w:hAnsi="宋体" w:cs="宋体"/>
                <w:spacing w:val="0"/>
                <w:sz w:val="18"/>
                <w:szCs w:val="18"/>
              </w:rPr>
              <w:t>《关于内地与香港特别行政区法院相互认可和执行婚姻家庭民事案件判决的安排》</w:t>
            </w:r>
          </w:p>
        </w:tc>
        <w:tc>
          <w:tcPr>
            <w:tcW w:w="1380"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contextualSpacing/>
              <w:jc w:val="center"/>
              <w:textAlignment w:val="auto"/>
              <w:rPr>
                <w:rFonts w:ascii="宋体" w:hAnsi="宋体" w:cs="宋体"/>
                <w:spacing w:val="-4"/>
                <w:sz w:val="18"/>
                <w:szCs w:val="18"/>
              </w:rPr>
            </w:pPr>
            <w:r>
              <w:rPr>
                <w:rFonts w:hint="eastAsia" w:ascii="宋体" w:hAnsi="宋体" w:cs="宋体"/>
                <w:spacing w:val="-4"/>
                <w:sz w:val="18"/>
                <w:szCs w:val="18"/>
              </w:rPr>
              <w:t>内地、香港</w:t>
            </w:r>
          </w:p>
        </w:tc>
        <w:tc>
          <w:tcPr>
            <w:tcW w:w="1325"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contextualSpacing/>
              <w:jc w:val="center"/>
              <w:textAlignment w:val="auto"/>
              <w:rPr>
                <w:rFonts w:ascii="宋体" w:hAnsi="宋体" w:cs="宋体"/>
                <w:spacing w:val="-4"/>
                <w:sz w:val="18"/>
                <w:szCs w:val="18"/>
              </w:rPr>
            </w:pPr>
            <w:r>
              <w:rPr>
                <w:rFonts w:hint="eastAsia" w:ascii="宋体" w:hAnsi="宋体" w:cs="宋体"/>
                <w:spacing w:val="-4"/>
                <w:sz w:val="18"/>
                <w:szCs w:val="18"/>
              </w:rPr>
              <w:t>2017.6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trPr>
        <w:tc>
          <w:tcPr>
            <w:tcW w:w="0" w:type="auto"/>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contextualSpacing/>
              <w:jc w:val="center"/>
              <w:textAlignment w:val="auto"/>
              <w:rPr>
                <w:rFonts w:ascii="宋体" w:hAnsi="宋体" w:cs="宋体"/>
                <w:spacing w:val="-4"/>
                <w:sz w:val="18"/>
                <w:szCs w:val="18"/>
              </w:rPr>
            </w:pPr>
            <w:r>
              <w:rPr>
                <w:rFonts w:hint="eastAsia" w:ascii="宋体" w:hAnsi="宋体" w:cs="宋体"/>
                <w:spacing w:val="-4"/>
                <w:sz w:val="18"/>
                <w:szCs w:val="18"/>
              </w:rPr>
              <w:t>6</w:t>
            </w:r>
          </w:p>
        </w:tc>
        <w:tc>
          <w:tcPr>
            <w:tcW w:w="5291"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contextualSpacing/>
              <w:jc w:val="left"/>
              <w:textAlignment w:val="auto"/>
              <w:rPr>
                <w:rFonts w:ascii="宋体" w:hAnsi="宋体" w:cs="宋体"/>
                <w:spacing w:val="0"/>
                <w:sz w:val="18"/>
                <w:szCs w:val="18"/>
              </w:rPr>
            </w:pPr>
            <w:r>
              <w:rPr>
                <w:rFonts w:hint="eastAsia" w:ascii="宋体" w:hAnsi="宋体" w:cs="宋体"/>
                <w:spacing w:val="0"/>
                <w:sz w:val="18"/>
                <w:szCs w:val="18"/>
              </w:rPr>
              <w:t>《关于内地与香港特别行政区法院相互认可和执行民商事案件判决的安排》</w:t>
            </w:r>
          </w:p>
        </w:tc>
        <w:tc>
          <w:tcPr>
            <w:tcW w:w="1380"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contextualSpacing/>
              <w:jc w:val="center"/>
              <w:textAlignment w:val="auto"/>
              <w:rPr>
                <w:rFonts w:ascii="宋体" w:hAnsi="宋体" w:cs="宋体"/>
                <w:spacing w:val="-4"/>
                <w:sz w:val="18"/>
                <w:szCs w:val="18"/>
              </w:rPr>
            </w:pPr>
            <w:r>
              <w:rPr>
                <w:rFonts w:hint="eastAsia" w:ascii="宋体" w:hAnsi="宋体" w:cs="宋体"/>
                <w:spacing w:val="-4"/>
                <w:sz w:val="18"/>
                <w:szCs w:val="18"/>
              </w:rPr>
              <w:t>内地、香港</w:t>
            </w:r>
          </w:p>
        </w:tc>
        <w:tc>
          <w:tcPr>
            <w:tcW w:w="1325"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contextualSpacing/>
              <w:jc w:val="center"/>
              <w:textAlignment w:val="auto"/>
              <w:rPr>
                <w:rFonts w:ascii="宋体" w:hAnsi="宋体" w:cs="宋体"/>
                <w:spacing w:val="-4"/>
                <w:sz w:val="18"/>
                <w:szCs w:val="18"/>
              </w:rPr>
            </w:pPr>
            <w:r>
              <w:rPr>
                <w:rFonts w:hint="eastAsia" w:ascii="宋体" w:hAnsi="宋体" w:cs="宋体"/>
                <w:spacing w:val="-4"/>
                <w:sz w:val="18"/>
                <w:szCs w:val="18"/>
              </w:rPr>
              <w:t>2019.1.18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trPr>
        <w:tc>
          <w:tcPr>
            <w:tcW w:w="0" w:type="auto"/>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contextualSpacing/>
              <w:jc w:val="center"/>
              <w:textAlignment w:val="auto"/>
              <w:rPr>
                <w:rFonts w:ascii="宋体" w:hAnsi="宋体" w:cs="宋体"/>
                <w:spacing w:val="-4"/>
                <w:sz w:val="18"/>
                <w:szCs w:val="18"/>
              </w:rPr>
            </w:pPr>
            <w:r>
              <w:rPr>
                <w:rFonts w:hint="eastAsia" w:ascii="宋体" w:hAnsi="宋体" w:cs="宋体"/>
                <w:spacing w:val="-4"/>
                <w:sz w:val="18"/>
                <w:szCs w:val="18"/>
              </w:rPr>
              <w:t>7</w:t>
            </w:r>
          </w:p>
        </w:tc>
        <w:tc>
          <w:tcPr>
            <w:tcW w:w="5291"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contextualSpacing/>
              <w:jc w:val="left"/>
              <w:textAlignment w:val="auto"/>
              <w:rPr>
                <w:rFonts w:ascii="宋体" w:hAnsi="宋体" w:cs="宋体"/>
                <w:spacing w:val="0"/>
                <w:sz w:val="18"/>
                <w:szCs w:val="18"/>
              </w:rPr>
            </w:pPr>
            <w:r>
              <w:rPr>
                <w:rFonts w:hint="eastAsia" w:ascii="宋体" w:hAnsi="宋体" w:cs="宋体"/>
                <w:spacing w:val="0"/>
                <w:sz w:val="18"/>
                <w:szCs w:val="18"/>
              </w:rPr>
              <w:t>《关于内地与香港特别行政区法院就仲裁程序相互协助保全的安排》</w:t>
            </w:r>
          </w:p>
        </w:tc>
        <w:tc>
          <w:tcPr>
            <w:tcW w:w="1380"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contextualSpacing/>
              <w:jc w:val="center"/>
              <w:textAlignment w:val="auto"/>
              <w:rPr>
                <w:rFonts w:ascii="宋体" w:hAnsi="宋体" w:cs="宋体"/>
                <w:spacing w:val="-4"/>
                <w:sz w:val="18"/>
                <w:szCs w:val="18"/>
              </w:rPr>
            </w:pPr>
            <w:r>
              <w:rPr>
                <w:rFonts w:hint="eastAsia" w:ascii="宋体" w:hAnsi="宋体" w:cs="宋体"/>
                <w:spacing w:val="-4"/>
                <w:sz w:val="18"/>
                <w:szCs w:val="18"/>
              </w:rPr>
              <w:t>内地、香港</w:t>
            </w:r>
          </w:p>
        </w:tc>
        <w:tc>
          <w:tcPr>
            <w:tcW w:w="1325"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contextualSpacing/>
              <w:jc w:val="center"/>
              <w:textAlignment w:val="auto"/>
              <w:rPr>
                <w:rFonts w:ascii="宋体" w:hAnsi="宋体" w:cs="宋体"/>
                <w:spacing w:val="-4"/>
                <w:sz w:val="18"/>
                <w:szCs w:val="18"/>
              </w:rPr>
            </w:pPr>
            <w:r>
              <w:rPr>
                <w:rFonts w:hint="eastAsia" w:ascii="宋体" w:hAnsi="宋体" w:cs="宋体"/>
                <w:spacing w:val="-4"/>
                <w:sz w:val="18"/>
                <w:szCs w:val="18"/>
              </w:rPr>
              <w:t>2019.4.2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trPr>
        <w:tc>
          <w:tcPr>
            <w:tcW w:w="0" w:type="auto"/>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contextualSpacing/>
              <w:jc w:val="center"/>
              <w:textAlignment w:val="auto"/>
              <w:rPr>
                <w:rFonts w:ascii="宋体" w:hAnsi="宋体" w:cs="宋体"/>
                <w:spacing w:val="-4"/>
                <w:sz w:val="18"/>
                <w:szCs w:val="18"/>
              </w:rPr>
            </w:pPr>
            <w:r>
              <w:rPr>
                <w:rFonts w:hint="eastAsia" w:ascii="宋体" w:hAnsi="宋体" w:cs="宋体"/>
                <w:spacing w:val="-4"/>
                <w:sz w:val="18"/>
                <w:szCs w:val="18"/>
              </w:rPr>
              <w:t>8</w:t>
            </w:r>
          </w:p>
        </w:tc>
        <w:tc>
          <w:tcPr>
            <w:tcW w:w="5291"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contextualSpacing/>
              <w:jc w:val="left"/>
              <w:textAlignment w:val="auto"/>
              <w:rPr>
                <w:rFonts w:ascii="宋体" w:hAnsi="宋体" w:cs="宋体"/>
                <w:spacing w:val="0"/>
                <w:sz w:val="18"/>
                <w:szCs w:val="18"/>
              </w:rPr>
            </w:pPr>
            <w:r>
              <w:rPr>
                <w:rFonts w:hint="eastAsia" w:ascii="宋体" w:hAnsi="宋体" w:cs="宋体"/>
                <w:spacing w:val="0"/>
                <w:sz w:val="18"/>
                <w:szCs w:val="18"/>
              </w:rPr>
              <w:t>《内地与澳门特别行政区法院就民商事案件相互委托送达司法文书和调取证据的安排》</w:t>
            </w:r>
          </w:p>
        </w:tc>
        <w:tc>
          <w:tcPr>
            <w:tcW w:w="1380"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contextualSpacing/>
              <w:jc w:val="center"/>
              <w:textAlignment w:val="auto"/>
              <w:rPr>
                <w:rFonts w:ascii="宋体" w:hAnsi="宋体" w:cs="宋体"/>
                <w:spacing w:val="-4"/>
                <w:sz w:val="18"/>
                <w:szCs w:val="18"/>
              </w:rPr>
            </w:pPr>
            <w:r>
              <w:rPr>
                <w:rFonts w:hint="eastAsia" w:ascii="宋体" w:hAnsi="宋体" w:cs="宋体"/>
                <w:spacing w:val="-4"/>
                <w:sz w:val="18"/>
                <w:szCs w:val="18"/>
              </w:rPr>
              <w:t>内地、澳门</w:t>
            </w:r>
          </w:p>
        </w:tc>
        <w:tc>
          <w:tcPr>
            <w:tcW w:w="1325"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contextualSpacing/>
              <w:jc w:val="center"/>
              <w:textAlignment w:val="auto"/>
              <w:rPr>
                <w:rFonts w:ascii="宋体" w:hAnsi="宋体" w:cs="宋体"/>
                <w:spacing w:val="-4"/>
                <w:sz w:val="18"/>
                <w:szCs w:val="18"/>
              </w:rPr>
            </w:pPr>
            <w:r>
              <w:rPr>
                <w:rFonts w:hint="eastAsia" w:ascii="宋体" w:hAnsi="宋体" w:cs="宋体"/>
                <w:spacing w:val="-4"/>
                <w:sz w:val="18"/>
                <w:szCs w:val="18"/>
              </w:rPr>
              <w:t>2001年生效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trPr>
        <w:tc>
          <w:tcPr>
            <w:tcW w:w="0" w:type="auto"/>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contextualSpacing/>
              <w:jc w:val="center"/>
              <w:textAlignment w:val="auto"/>
              <w:rPr>
                <w:rFonts w:ascii="宋体" w:hAnsi="宋体" w:cs="宋体"/>
                <w:spacing w:val="-4"/>
                <w:sz w:val="18"/>
                <w:szCs w:val="18"/>
              </w:rPr>
            </w:pPr>
            <w:r>
              <w:rPr>
                <w:rFonts w:hint="eastAsia" w:ascii="宋体" w:hAnsi="宋体" w:cs="宋体"/>
                <w:spacing w:val="-4"/>
                <w:sz w:val="18"/>
                <w:szCs w:val="18"/>
              </w:rPr>
              <w:t>9</w:t>
            </w:r>
          </w:p>
        </w:tc>
        <w:tc>
          <w:tcPr>
            <w:tcW w:w="5291"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contextualSpacing/>
              <w:jc w:val="left"/>
              <w:textAlignment w:val="auto"/>
              <w:rPr>
                <w:rFonts w:ascii="宋体" w:hAnsi="宋体" w:cs="宋体"/>
                <w:spacing w:val="0"/>
                <w:sz w:val="18"/>
                <w:szCs w:val="18"/>
              </w:rPr>
            </w:pPr>
            <w:r>
              <w:rPr>
                <w:rFonts w:hint="eastAsia" w:ascii="宋体" w:hAnsi="宋体" w:cs="宋体"/>
                <w:spacing w:val="0"/>
                <w:sz w:val="18"/>
                <w:szCs w:val="18"/>
              </w:rPr>
              <w:t>《内地与澳门特别行政区关于互相认可和执行民商事判决的安排》</w:t>
            </w:r>
          </w:p>
        </w:tc>
        <w:tc>
          <w:tcPr>
            <w:tcW w:w="1380"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contextualSpacing/>
              <w:jc w:val="center"/>
              <w:textAlignment w:val="auto"/>
              <w:rPr>
                <w:rFonts w:ascii="宋体" w:hAnsi="宋体" w:cs="宋体"/>
                <w:spacing w:val="-4"/>
                <w:sz w:val="18"/>
                <w:szCs w:val="18"/>
              </w:rPr>
            </w:pPr>
            <w:r>
              <w:rPr>
                <w:rFonts w:hint="eastAsia" w:ascii="宋体" w:hAnsi="宋体" w:cs="宋体"/>
                <w:spacing w:val="-4"/>
                <w:sz w:val="18"/>
                <w:szCs w:val="18"/>
              </w:rPr>
              <w:t>内地、澳门</w:t>
            </w:r>
          </w:p>
        </w:tc>
        <w:tc>
          <w:tcPr>
            <w:tcW w:w="1325"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contextualSpacing/>
              <w:jc w:val="center"/>
              <w:textAlignment w:val="auto"/>
              <w:rPr>
                <w:rFonts w:ascii="宋体" w:hAnsi="宋体" w:cs="宋体"/>
                <w:spacing w:val="-4"/>
                <w:sz w:val="18"/>
                <w:szCs w:val="18"/>
              </w:rPr>
            </w:pPr>
            <w:r>
              <w:rPr>
                <w:rFonts w:hint="eastAsia" w:ascii="宋体" w:hAnsi="宋体" w:cs="宋体"/>
                <w:spacing w:val="-4"/>
                <w:sz w:val="18"/>
                <w:szCs w:val="18"/>
              </w:rPr>
              <w:t>2006年生效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trPr>
        <w:tc>
          <w:tcPr>
            <w:tcW w:w="0" w:type="auto"/>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contextualSpacing/>
              <w:jc w:val="center"/>
              <w:textAlignment w:val="auto"/>
              <w:rPr>
                <w:rFonts w:ascii="宋体" w:hAnsi="宋体" w:cs="宋体"/>
                <w:spacing w:val="-4"/>
                <w:sz w:val="18"/>
                <w:szCs w:val="18"/>
              </w:rPr>
            </w:pPr>
            <w:r>
              <w:rPr>
                <w:rFonts w:hint="eastAsia" w:ascii="宋体" w:hAnsi="宋体" w:cs="宋体"/>
                <w:spacing w:val="-4"/>
                <w:sz w:val="18"/>
                <w:szCs w:val="18"/>
              </w:rPr>
              <w:t>10</w:t>
            </w:r>
          </w:p>
        </w:tc>
        <w:tc>
          <w:tcPr>
            <w:tcW w:w="5291"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contextualSpacing/>
              <w:jc w:val="left"/>
              <w:textAlignment w:val="auto"/>
              <w:rPr>
                <w:rFonts w:ascii="宋体" w:hAnsi="宋体" w:cs="宋体"/>
                <w:spacing w:val="0"/>
                <w:sz w:val="18"/>
                <w:szCs w:val="18"/>
              </w:rPr>
            </w:pPr>
            <w:r>
              <w:rPr>
                <w:rFonts w:hint="eastAsia" w:ascii="宋体" w:hAnsi="宋体" w:cs="宋体"/>
                <w:spacing w:val="0"/>
                <w:sz w:val="18"/>
                <w:szCs w:val="18"/>
              </w:rPr>
              <w:t>《内地与澳门特别行政区关于互相认可和执行仲裁裁决的安排》</w:t>
            </w:r>
          </w:p>
        </w:tc>
        <w:tc>
          <w:tcPr>
            <w:tcW w:w="1380"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contextualSpacing/>
              <w:jc w:val="center"/>
              <w:textAlignment w:val="auto"/>
              <w:rPr>
                <w:rFonts w:ascii="宋体" w:hAnsi="宋体" w:cs="宋体"/>
                <w:spacing w:val="-4"/>
                <w:sz w:val="18"/>
                <w:szCs w:val="18"/>
              </w:rPr>
            </w:pPr>
            <w:r>
              <w:rPr>
                <w:rFonts w:hint="eastAsia" w:ascii="宋体" w:hAnsi="宋体" w:cs="宋体"/>
                <w:spacing w:val="-4"/>
                <w:sz w:val="18"/>
                <w:szCs w:val="18"/>
              </w:rPr>
              <w:t>内地、澳门</w:t>
            </w:r>
          </w:p>
        </w:tc>
        <w:tc>
          <w:tcPr>
            <w:tcW w:w="1325"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contextualSpacing/>
              <w:jc w:val="center"/>
              <w:textAlignment w:val="auto"/>
              <w:rPr>
                <w:rFonts w:ascii="宋体" w:hAnsi="宋体" w:cs="宋体"/>
                <w:spacing w:val="-4"/>
                <w:sz w:val="18"/>
                <w:szCs w:val="18"/>
              </w:rPr>
            </w:pPr>
            <w:r>
              <w:rPr>
                <w:rFonts w:hint="eastAsia" w:ascii="宋体" w:hAnsi="宋体" w:cs="宋体"/>
                <w:spacing w:val="-4"/>
                <w:sz w:val="18"/>
                <w:szCs w:val="18"/>
              </w:rPr>
              <w:t>2008年生效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trPr>
        <w:tc>
          <w:tcPr>
            <w:tcW w:w="0" w:type="auto"/>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contextualSpacing/>
              <w:jc w:val="center"/>
              <w:textAlignment w:val="auto"/>
              <w:rPr>
                <w:rFonts w:ascii="宋体" w:hAnsi="宋体" w:cs="宋体"/>
                <w:spacing w:val="-4"/>
                <w:sz w:val="18"/>
                <w:szCs w:val="18"/>
              </w:rPr>
            </w:pPr>
            <w:r>
              <w:rPr>
                <w:rFonts w:hint="eastAsia" w:ascii="宋体" w:hAnsi="宋体" w:cs="宋体"/>
                <w:spacing w:val="-4"/>
                <w:sz w:val="18"/>
                <w:szCs w:val="18"/>
              </w:rPr>
              <w:t>11</w:t>
            </w:r>
          </w:p>
        </w:tc>
        <w:tc>
          <w:tcPr>
            <w:tcW w:w="5291"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contextualSpacing/>
              <w:jc w:val="left"/>
              <w:textAlignment w:val="auto"/>
              <w:rPr>
                <w:rFonts w:ascii="宋体" w:hAnsi="宋体" w:cs="宋体"/>
                <w:spacing w:val="0"/>
                <w:sz w:val="18"/>
                <w:szCs w:val="18"/>
              </w:rPr>
            </w:pPr>
            <w:r>
              <w:rPr>
                <w:rFonts w:hint="eastAsia" w:ascii="宋体" w:hAnsi="宋体" w:cs="宋体"/>
                <w:spacing w:val="0"/>
                <w:sz w:val="18"/>
                <w:szCs w:val="18"/>
              </w:rPr>
              <w:t>《关于香港</w:t>
            </w:r>
            <w:r>
              <w:rPr>
                <w:rFonts w:hint="eastAsia" w:ascii="宋体" w:hAnsi="宋体" w:cs="宋体"/>
                <w:spacing w:val="0"/>
                <w:sz w:val="18"/>
                <w:szCs w:val="18"/>
                <w:lang w:val="en-US" w:eastAsia="zh-CN"/>
              </w:rPr>
              <w:t>特别</w:t>
            </w:r>
            <w:r>
              <w:rPr>
                <w:rFonts w:hint="eastAsia" w:ascii="宋体" w:hAnsi="宋体" w:cs="宋体"/>
                <w:spacing w:val="0"/>
                <w:sz w:val="18"/>
                <w:szCs w:val="18"/>
              </w:rPr>
              <w:t>行政区与澳门特别行政区相互认可和执行仲裁裁决的安排》</w:t>
            </w:r>
          </w:p>
        </w:tc>
        <w:tc>
          <w:tcPr>
            <w:tcW w:w="1380"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contextualSpacing/>
              <w:jc w:val="center"/>
              <w:textAlignment w:val="auto"/>
              <w:rPr>
                <w:rFonts w:ascii="宋体" w:hAnsi="宋体" w:cs="宋体"/>
                <w:spacing w:val="-4"/>
                <w:sz w:val="18"/>
                <w:szCs w:val="18"/>
              </w:rPr>
            </w:pPr>
            <w:r>
              <w:rPr>
                <w:rFonts w:hint="eastAsia" w:ascii="宋体" w:hAnsi="宋体" w:cs="宋体"/>
                <w:spacing w:val="-4"/>
                <w:sz w:val="18"/>
                <w:szCs w:val="18"/>
                <w:lang w:val="en-US" w:eastAsia="zh-CN"/>
              </w:rPr>
              <w:t>香港</w:t>
            </w:r>
            <w:r>
              <w:rPr>
                <w:rFonts w:hint="eastAsia" w:ascii="宋体" w:hAnsi="宋体" w:cs="宋体"/>
                <w:spacing w:val="-4"/>
                <w:sz w:val="18"/>
                <w:szCs w:val="18"/>
              </w:rPr>
              <w:t>、澳门</w:t>
            </w:r>
          </w:p>
        </w:tc>
        <w:tc>
          <w:tcPr>
            <w:tcW w:w="1325"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contextualSpacing/>
              <w:jc w:val="center"/>
              <w:textAlignment w:val="auto"/>
              <w:rPr>
                <w:rFonts w:ascii="宋体" w:hAnsi="宋体" w:cs="宋体"/>
                <w:spacing w:val="-4"/>
                <w:sz w:val="18"/>
                <w:szCs w:val="18"/>
              </w:rPr>
            </w:pPr>
            <w:r>
              <w:rPr>
                <w:rFonts w:hint="eastAsia" w:ascii="宋体" w:hAnsi="宋体" w:cs="宋体"/>
                <w:spacing w:val="-4"/>
                <w:sz w:val="18"/>
                <w:szCs w:val="18"/>
              </w:rPr>
              <w:t>2013.1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trPr>
        <w:tc>
          <w:tcPr>
            <w:tcW w:w="0" w:type="auto"/>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contextualSpacing/>
              <w:jc w:val="center"/>
              <w:textAlignment w:val="auto"/>
              <w:rPr>
                <w:rFonts w:ascii="宋体" w:hAnsi="宋体" w:cs="宋体"/>
                <w:spacing w:val="-4"/>
                <w:sz w:val="18"/>
                <w:szCs w:val="18"/>
              </w:rPr>
            </w:pPr>
            <w:r>
              <w:rPr>
                <w:rFonts w:hint="eastAsia" w:ascii="宋体" w:hAnsi="宋体" w:cs="宋体"/>
                <w:spacing w:val="-4"/>
                <w:sz w:val="18"/>
                <w:szCs w:val="18"/>
              </w:rPr>
              <w:t>12</w:t>
            </w:r>
          </w:p>
        </w:tc>
        <w:tc>
          <w:tcPr>
            <w:tcW w:w="5291"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contextualSpacing/>
              <w:jc w:val="left"/>
              <w:textAlignment w:val="auto"/>
              <w:rPr>
                <w:rFonts w:ascii="宋体" w:hAnsi="宋体" w:cs="宋体"/>
                <w:spacing w:val="0"/>
                <w:sz w:val="18"/>
                <w:szCs w:val="18"/>
              </w:rPr>
            </w:pPr>
            <w:r>
              <w:rPr>
                <w:rFonts w:hint="eastAsia" w:ascii="宋体" w:hAnsi="宋体" w:cs="宋体"/>
                <w:spacing w:val="0"/>
                <w:sz w:val="18"/>
                <w:szCs w:val="18"/>
              </w:rPr>
              <w:t>《香港</w:t>
            </w:r>
            <w:r>
              <w:rPr>
                <w:rFonts w:hint="eastAsia" w:ascii="宋体" w:hAnsi="宋体" w:cs="宋体"/>
                <w:spacing w:val="0"/>
                <w:sz w:val="18"/>
                <w:szCs w:val="18"/>
                <w:lang w:val="en-US" w:eastAsia="zh-CN"/>
              </w:rPr>
              <w:t>特别</w:t>
            </w:r>
            <w:r>
              <w:rPr>
                <w:rFonts w:hint="eastAsia" w:ascii="宋体" w:hAnsi="宋体" w:cs="宋体"/>
                <w:spacing w:val="0"/>
                <w:sz w:val="18"/>
                <w:szCs w:val="18"/>
              </w:rPr>
              <w:t>行政区与澳门特别行政区对民商事案件相互委托送达司法文书的安排》</w:t>
            </w:r>
          </w:p>
        </w:tc>
        <w:tc>
          <w:tcPr>
            <w:tcW w:w="1380"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contextualSpacing/>
              <w:jc w:val="center"/>
              <w:textAlignment w:val="auto"/>
              <w:rPr>
                <w:rFonts w:ascii="宋体" w:hAnsi="宋体" w:cs="宋体"/>
                <w:spacing w:val="-4"/>
                <w:sz w:val="18"/>
                <w:szCs w:val="18"/>
              </w:rPr>
            </w:pPr>
            <w:r>
              <w:rPr>
                <w:rFonts w:hint="eastAsia" w:ascii="宋体" w:hAnsi="宋体" w:cs="宋体"/>
                <w:spacing w:val="-4"/>
                <w:sz w:val="18"/>
                <w:szCs w:val="18"/>
                <w:lang w:val="en-US" w:eastAsia="zh-CN"/>
              </w:rPr>
              <w:t>香港</w:t>
            </w:r>
            <w:r>
              <w:rPr>
                <w:rFonts w:hint="eastAsia" w:ascii="宋体" w:hAnsi="宋体" w:cs="宋体"/>
                <w:spacing w:val="-4"/>
                <w:sz w:val="18"/>
                <w:szCs w:val="18"/>
              </w:rPr>
              <w:t>、澳门</w:t>
            </w:r>
          </w:p>
        </w:tc>
        <w:tc>
          <w:tcPr>
            <w:tcW w:w="1325" w:type="dxa"/>
            <w:noWrap w:val="0"/>
            <w:vAlign w:val="center"/>
          </w:tcPr>
          <w:p>
            <w:pPr>
              <w:keepNext w:val="0"/>
              <w:keepLines w:val="0"/>
              <w:pageBreakBefore w:val="0"/>
              <w:widowControl/>
              <w:kinsoku/>
              <w:wordWrap/>
              <w:overflowPunct/>
              <w:topLinePunct w:val="0"/>
              <w:autoSpaceDE/>
              <w:autoSpaceDN/>
              <w:bidi w:val="0"/>
              <w:adjustRightInd/>
              <w:snapToGrid/>
              <w:spacing w:line="240" w:lineRule="auto"/>
              <w:ind w:left="0" w:leftChars="0"/>
              <w:contextualSpacing/>
              <w:jc w:val="center"/>
              <w:textAlignment w:val="auto"/>
              <w:rPr>
                <w:rFonts w:ascii="宋体" w:hAnsi="宋体" w:cs="宋体"/>
                <w:spacing w:val="-4"/>
                <w:sz w:val="18"/>
                <w:szCs w:val="18"/>
              </w:rPr>
            </w:pPr>
            <w:r>
              <w:rPr>
                <w:rFonts w:hint="eastAsia" w:ascii="宋体" w:hAnsi="宋体" w:cs="宋体"/>
                <w:spacing w:val="-4"/>
                <w:sz w:val="18"/>
                <w:szCs w:val="18"/>
              </w:rPr>
              <w:t>2013.1</w:t>
            </w:r>
          </w:p>
        </w:tc>
      </w:tr>
    </w:tbl>
    <w:p>
      <w:pPr>
        <w:pStyle w:val="5"/>
        <w:keepNext w:val="0"/>
        <w:keepLines w:val="0"/>
        <w:pageBreakBefore w:val="0"/>
        <w:widowControl/>
        <w:kinsoku/>
        <w:wordWrap/>
        <w:overflowPunct/>
        <w:topLinePunct w:val="0"/>
        <w:autoSpaceDE/>
        <w:autoSpaceDN/>
        <w:bidi w:val="0"/>
        <w:adjustRightInd/>
        <w:snapToGrid/>
        <w:spacing w:line="360" w:lineRule="auto"/>
        <w:ind w:left="0" w:leftChars="0"/>
        <w:contextualSpacing/>
        <w:rPr>
          <w:sz w:val="21"/>
          <w:szCs w:val="21"/>
        </w:rPr>
      </w:pPr>
      <w:r>
        <w:rPr>
          <w:sz w:val="21"/>
          <w:szCs w:val="21"/>
        </w:rPr>
        <w:t>图</w:t>
      </w:r>
      <w:r>
        <w:rPr>
          <w:rFonts w:hint="eastAsia"/>
          <w:sz w:val="21"/>
          <w:szCs w:val="21"/>
        </w:rPr>
        <w:t>3：内地、香港、澳门间签署的部分司法</w:t>
      </w:r>
      <w:r>
        <w:rPr>
          <w:rFonts w:hint="eastAsia"/>
          <w:sz w:val="21"/>
          <w:szCs w:val="21"/>
          <w:lang w:val="en-US" w:eastAsia="zh-CN"/>
        </w:rPr>
        <w:t>协助</w:t>
      </w:r>
      <w:r>
        <w:rPr>
          <w:rFonts w:hint="eastAsia"/>
          <w:sz w:val="21"/>
          <w:szCs w:val="21"/>
        </w:rPr>
        <w:t>文件</w:t>
      </w:r>
    </w:p>
    <w:p>
      <w:pPr>
        <w:keepNext w:val="0"/>
        <w:keepLines w:val="0"/>
        <w:pageBreakBefore w:val="0"/>
        <w:widowControl/>
        <w:kinsoku/>
        <w:wordWrap/>
        <w:overflowPunct/>
        <w:topLinePunct w:val="0"/>
        <w:autoSpaceDE/>
        <w:autoSpaceDN/>
        <w:bidi w:val="0"/>
        <w:adjustRightInd/>
        <w:snapToGrid/>
        <w:spacing w:line="360" w:lineRule="auto"/>
        <w:ind w:left="0" w:leftChars="0" w:firstLine="480" w:firstLineChars="200"/>
        <w:contextualSpacing/>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根据上述文件的规定，内地与香港、内地与澳门在对民商事案件的委托送达、委托调取证据、相互认可和执行民事判决等方面均作出了具体安排。民事公益诉讼作为民事诉讼的一种特别类型，在具体的诉讼中应遵循民事诉讼的一般原则，在粤港澳三</w:t>
      </w:r>
      <w:r>
        <w:rPr>
          <w:rFonts w:hint="eastAsia" w:ascii="宋体" w:hAnsi="宋体" w:cs="宋体"/>
          <w:b w:val="0"/>
          <w:bCs w:val="0"/>
          <w:kern w:val="2"/>
          <w:sz w:val="24"/>
          <w:szCs w:val="24"/>
          <w:lang w:val="en-US" w:eastAsia="zh-CN" w:bidi="ar-SA"/>
        </w:rPr>
        <w:t>地</w:t>
      </w:r>
      <w:r>
        <w:rPr>
          <w:rFonts w:hint="eastAsia" w:ascii="宋体" w:hAnsi="宋体" w:eastAsia="宋体" w:cs="宋体"/>
          <w:b w:val="0"/>
          <w:bCs w:val="0"/>
          <w:kern w:val="2"/>
          <w:sz w:val="24"/>
          <w:szCs w:val="24"/>
          <w:lang w:val="en-US" w:eastAsia="zh-CN" w:bidi="ar-SA"/>
        </w:rPr>
        <w:t>协作中，可以适用上述关于司法协作的具体安排。</w:t>
      </w:r>
    </w:p>
    <w:p>
      <w:pPr>
        <w:keepNext w:val="0"/>
        <w:keepLines w:val="0"/>
        <w:pageBreakBefore w:val="0"/>
        <w:widowControl/>
        <w:kinsoku/>
        <w:wordWrap/>
        <w:overflowPunct/>
        <w:topLinePunct w:val="0"/>
        <w:autoSpaceDE/>
        <w:autoSpaceDN/>
        <w:bidi w:val="0"/>
        <w:adjustRightInd/>
        <w:snapToGrid/>
        <w:spacing w:line="360" w:lineRule="auto"/>
        <w:ind w:left="0" w:leftChars="0" w:firstLine="480" w:firstLineChars="200"/>
        <w:contextualSpacing/>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同时，在民事公益诉讼的一些具体领域，粤港澳三地已经建立了专门的协作机制。如在环境保护领域，《粤港环保合作协议》、《珠澳环境保护合作协议》、《粤港清洁生产伙伴计划》等都为三地的环境协同治理提供了明确依据。又如，在消费者保护领域，香港消费者委员会已在内地设置了官方网站，接受内地居民的投诉。而澳门、珠海、中山、江门、横琴消费者委员会也在</w:t>
      </w:r>
      <w:r>
        <w:rPr>
          <w:rFonts w:hint="default" w:ascii="宋体" w:hAnsi="宋体" w:eastAsia="宋体" w:cs="宋体"/>
          <w:b w:val="0"/>
          <w:bCs w:val="0"/>
          <w:kern w:val="2"/>
          <w:sz w:val="24"/>
          <w:szCs w:val="24"/>
          <w:lang w:val="en-US" w:eastAsia="zh-CN" w:bidi="ar-SA"/>
        </w:rPr>
        <w:t>2023</w:t>
      </w:r>
      <w:r>
        <w:rPr>
          <w:rFonts w:hint="eastAsia" w:ascii="宋体" w:hAnsi="宋体" w:eastAsia="宋体" w:cs="宋体"/>
          <w:b w:val="0"/>
          <w:bCs w:val="0"/>
          <w:kern w:val="2"/>
          <w:sz w:val="24"/>
          <w:szCs w:val="24"/>
          <w:lang w:val="en-US" w:eastAsia="zh-CN" w:bidi="ar-SA"/>
        </w:rPr>
        <w:t>年3月15日联合发布了跨区域消费者维权合作系列团体标准。这些跨区域协作机制，不仅为保护相关领域的公共利益开展跨地区协作提供了依据，同时也为开展民事公益诉讼协作配合创造了条件，为进一步加强和完善跨区域协作配合提供了借鉴参考。</w:t>
      </w:r>
    </w:p>
    <w:p>
      <w:pPr>
        <w:keepNext w:val="0"/>
        <w:keepLines w:val="0"/>
        <w:pageBreakBefore w:val="0"/>
        <w:widowControl/>
        <w:kinsoku/>
        <w:wordWrap/>
        <w:overflowPunct/>
        <w:topLinePunct w:val="0"/>
        <w:autoSpaceDE/>
        <w:autoSpaceDN/>
        <w:bidi w:val="0"/>
        <w:adjustRightInd/>
        <w:snapToGrid/>
        <w:spacing w:line="360" w:lineRule="auto"/>
        <w:ind w:left="0" w:leftChars="0" w:firstLine="600" w:firstLineChars="200"/>
        <w:rPr>
          <w:rFonts w:hint="eastAsia" w:ascii="黑体" w:hAnsi="黑体" w:eastAsia="黑体" w:cs="黑体"/>
          <w:sz w:val="30"/>
          <w:szCs w:val="30"/>
        </w:rPr>
      </w:pPr>
      <w:r>
        <w:rPr>
          <w:rFonts w:hint="eastAsia" w:ascii="黑体" w:hAnsi="黑体" w:eastAsia="黑体" w:cs="黑体"/>
          <w:sz w:val="30"/>
          <w:szCs w:val="30"/>
        </w:rPr>
        <w:t>四、</w:t>
      </w:r>
      <w:r>
        <w:rPr>
          <w:rFonts w:hint="eastAsia" w:ascii="黑体" w:hAnsi="黑体" w:eastAsia="黑体" w:cs="黑体"/>
          <w:sz w:val="30"/>
          <w:szCs w:val="30"/>
          <w:lang w:val="en-US" w:eastAsia="zh-CN"/>
        </w:rPr>
        <w:t>建立</w:t>
      </w:r>
      <w:r>
        <w:rPr>
          <w:rFonts w:hint="eastAsia" w:ascii="黑体" w:hAnsi="黑体" w:eastAsia="黑体" w:cs="黑体"/>
          <w:sz w:val="30"/>
          <w:szCs w:val="30"/>
        </w:rPr>
        <w:t>协作机制的路径分析</w:t>
      </w:r>
    </w:p>
    <w:p>
      <w:pPr>
        <w:keepNext w:val="0"/>
        <w:keepLines w:val="0"/>
        <w:pageBreakBefore w:val="0"/>
        <w:widowControl/>
        <w:kinsoku/>
        <w:wordWrap/>
        <w:overflowPunct/>
        <w:topLinePunct w:val="0"/>
        <w:autoSpaceDE/>
        <w:autoSpaceDN/>
        <w:bidi w:val="0"/>
        <w:adjustRightInd/>
        <w:snapToGrid/>
        <w:spacing w:line="360" w:lineRule="auto"/>
        <w:ind w:left="0" w:leftChars="0" w:firstLine="480" w:firstLineChars="200"/>
        <w:contextualSpacing/>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内地九市以及内地与港澳开展民事公益诉讼工作协作的过程与单个市区单独开展该项工作相比，存在诉讼领域不一致，提起诉讼主体不相同、适用程序不相同、标准不一致等困境。在具体工作的开展中，也存在着调查取证更难、执行更难、要取得成效更难等多种问题。因此，探索建立跨区域协作机制，既要坚持问题导向、目标导向，更要坚持系统观念，既要解决实践中的困难和问题，也要有利于检察公益诉讼的长远发展，有利于完善公益诉讼制度。</w:t>
      </w:r>
    </w:p>
    <w:p>
      <w:pPr>
        <w:keepNext w:val="0"/>
        <w:keepLines w:val="0"/>
        <w:pageBreakBefore w:val="0"/>
        <w:widowControl/>
        <w:numPr>
          <w:ilvl w:val="0"/>
          <w:numId w:val="0"/>
        </w:numPr>
        <w:kinsoku/>
        <w:wordWrap/>
        <w:overflowPunct/>
        <w:topLinePunct w:val="0"/>
        <w:autoSpaceDE/>
        <w:autoSpaceDN/>
        <w:bidi w:val="0"/>
        <w:adjustRightInd/>
        <w:snapToGrid/>
        <w:spacing w:line="360" w:lineRule="auto"/>
        <w:ind w:firstLine="560" w:firstLineChars="200"/>
        <w:rPr>
          <w:rFonts w:hint="eastAsia" w:ascii="黑体" w:hAnsi="黑体" w:eastAsia="黑体" w:cs="黑体"/>
          <w:sz w:val="28"/>
          <w:szCs w:val="28"/>
          <w:lang w:eastAsia="zh-CN"/>
        </w:rPr>
      </w:pPr>
      <w:r>
        <w:rPr>
          <w:rFonts w:hint="eastAsia" w:ascii="黑体" w:hAnsi="黑体" w:eastAsia="黑体" w:cs="黑体"/>
          <w:sz w:val="28"/>
          <w:szCs w:val="28"/>
          <w:lang w:eastAsia="zh-CN"/>
        </w:rPr>
        <w:t>（一）内地协作机制</w:t>
      </w:r>
    </w:p>
    <w:p>
      <w:pPr>
        <w:keepNext w:val="0"/>
        <w:keepLines w:val="0"/>
        <w:pageBreakBefore w:val="0"/>
        <w:widowControl/>
        <w:kinsoku/>
        <w:wordWrap/>
        <w:overflowPunct/>
        <w:topLinePunct w:val="0"/>
        <w:autoSpaceDE/>
        <w:autoSpaceDN/>
        <w:bidi w:val="0"/>
        <w:adjustRightInd/>
        <w:snapToGrid/>
        <w:spacing w:line="360" w:lineRule="auto"/>
        <w:ind w:left="0" w:leftChars="0" w:firstLine="480" w:firstLineChars="200"/>
        <w:contextualSpacing/>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结合上文分析，目前粤港澳大湾区内地九市检察机关的公益诉讼协作机制主要集中在生态环境保护领域，特别是跨流域的水环境保护、海洋生态环境保护等。在内地九市检察机关开展民事公益诉讼协作中，应主动围绕粤港澳大湾区建设这一大背景，突出跨区域协作实现更好保护公共利益这一主题，不断优化协作机制，提高工作实效。</w:t>
      </w:r>
    </w:p>
    <w:p>
      <w:pPr>
        <w:keepNext w:val="0"/>
        <w:keepLines w:val="0"/>
        <w:pageBreakBefore w:val="0"/>
        <w:widowControl/>
        <w:kinsoku/>
        <w:wordWrap/>
        <w:overflowPunct/>
        <w:topLinePunct w:val="0"/>
        <w:autoSpaceDE/>
        <w:autoSpaceDN/>
        <w:bidi w:val="0"/>
        <w:adjustRightInd/>
        <w:snapToGrid/>
        <w:spacing w:line="360" w:lineRule="auto"/>
        <w:ind w:firstLine="480" w:firstLineChars="200"/>
        <w:rPr>
          <w:rFonts w:hint="eastAsia" w:ascii="黑体" w:hAnsi="黑体" w:eastAsia="黑体" w:cs="黑体"/>
          <w:sz w:val="24"/>
          <w:szCs w:val="24"/>
        </w:rPr>
      </w:pPr>
      <w:r>
        <w:rPr>
          <w:rFonts w:hint="eastAsia" w:ascii="黑体" w:hAnsi="黑体" w:eastAsia="黑体" w:cs="黑体"/>
          <w:sz w:val="24"/>
          <w:szCs w:val="24"/>
        </w:rPr>
        <w:t>1.以集中管辖为途径</w:t>
      </w:r>
    </w:p>
    <w:p>
      <w:pPr>
        <w:keepNext w:val="0"/>
        <w:keepLines w:val="0"/>
        <w:pageBreakBefore w:val="0"/>
        <w:widowControl/>
        <w:kinsoku/>
        <w:wordWrap/>
        <w:overflowPunct/>
        <w:topLinePunct w:val="0"/>
        <w:autoSpaceDE/>
        <w:autoSpaceDN/>
        <w:bidi w:val="0"/>
        <w:adjustRightInd/>
        <w:snapToGrid/>
        <w:spacing w:line="360" w:lineRule="auto"/>
        <w:ind w:left="0" w:leftChars="0" w:firstLine="480" w:firstLineChars="200"/>
        <w:contextualSpacing/>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探索试行粤港澳大湾区内地九市特定检察民事公益诉讼集中管辖。跨地域损害社会公共利益的违法行为，往往具有影响范围横跨多个地域、持续时间长、损害后果严重、因果关系认定复杂等特点，集中统一管辖能有效提升案件办理质效。如，对于污染的河流上游位于A市，下游位于B市，途径C市，其污染的后果必定是涉及A、B、C市，那究竟是哪个或者哪几个地区的排污行为导致危害后果产生？危害行为与危害后果的因果关系应如何认定？危害后果即涉及到生态环境赔偿数额等部分应怎么认定等。若案涉各地区仅能就涉及本辖区的问题作出处理，不仅不利于案件办理整体效果，致使受损的公共利益得不到快速有效的保护，其受到侵害的状态不能被及时纠正，不特定人民群众的生活就会持续受到影响。因此，探索实行集中统一管辖，是针对上述问题，加强区域民事公益诉讼协作的必然选择。如民事公益诉讼案件法院审理的部分，珠海市、中山市环境民事公益诉讼一审案件已经集中到珠海市中级人民法院审理，珠海中院为此率先设立了首个专门审理环境资源类民事案件的合议庭，此举有利于统一裁判尺度，加大环境资源司法保护力度。笔者认为，在</w:t>
      </w:r>
      <w:r>
        <w:rPr>
          <w:rFonts w:hint="eastAsia" w:ascii="宋体" w:hAnsi="宋体" w:cs="宋体"/>
          <w:b w:val="0"/>
          <w:bCs w:val="0"/>
          <w:kern w:val="2"/>
          <w:sz w:val="24"/>
          <w:szCs w:val="24"/>
          <w:lang w:val="en-US" w:eastAsia="zh-CN" w:bidi="ar-SA"/>
        </w:rPr>
        <w:t>粤港澳</w:t>
      </w:r>
      <w:r>
        <w:rPr>
          <w:rFonts w:hint="eastAsia" w:ascii="宋体" w:hAnsi="宋体" w:eastAsia="宋体" w:cs="宋体"/>
          <w:b w:val="0"/>
          <w:bCs w:val="0"/>
          <w:kern w:val="2"/>
          <w:sz w:val="24"/>
          <w:szCs w:val="24"/>
          <w:lang w:val="en-US" w:eastAsia="zh-CN" w:bidi="ar-SA"/>
        </w:rPr>
        <w:t>大湾区内地检察机关办理案件跨地区民事公益案件时，要善于运用集中管辖的思路和方法，解决跨地域监督不便的弊端。如通过向上级请示，由共同的上级指定管辖等方式，对跨行区划公益诉讼案件办理作出个案指引，为建立跨行政区域的集中管辖积累经验。</w:t>
      </w:r>
    </w:p>
    <w:p>
      <w:pPr>
        <w:keepNext w:val="0"/>
        <w:keepLines w:val="0"/>
        <w:pageBreakBefore w:val="0"/>
        <w:widowControl/>
        <w:kinsoku/>
        <w:wordWrap/>
        <w:overflowPunct/>
        <w:topLinePunct w:val="0"/>
        <w:autoSpaceDE/>
        <w:autoSpaceDN/>
        <w:bidi w:val="0"/>
        <w:adjustRightInd/>
        <w:snapToGrid/>
        <w:spacing w:line="360" w:lineRule="auto"/>
        <w:ind w:left="0" w:leftChars="0" w:firstLine="480" w:firstLineChars="200"/>
        <w:contextualSpacing/>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集中统一管辖主要体现在，第一，整合检察机关的侦查、提起公诉、公益诉讼职能，实行集中管辖，整体施策，助力破除技术鉴定等难题，更有力地惩治和震慑如破坏生态环境、食品药品安全等违法犯罪行为。第二，跨区域协作，指定集中管辖。为避免跨区域案件面临的管辖权争议、调查取证难等问题，多地可以通过协商、报请共同的上级检察机关制定等方式，就特定领域特定类型的民事公益诉讼案件，集中于某一个检察机关办理，通过发挥该检察机关的专业化办案优势，提高公益保护的效率。第三，发挥资源优势，形成一体化办案合力。如某些地区的检察机关设立了“大数据智慧公益诉讼检察平台”、有的检察机关则有“快速检测实验室”等，在开展协作过程中，应充分运用各地检察机关的办案资源优势，取长补短，顺利推动案件的调查核实等工作，解决应对行政区划壁垒、属地司法承载力弱等难题。</w:t>
      </w:r>
    </w:p>
    <w:p>
      <w:pPr>
        <w:keepNext w:val="0"/>
        <w:keepLines w:val="0"/>
        <w:pageBreakBefore w:val="0"/>
        <w:widowControl/>
        <w:kinsoku/>
        <w:wordWrap/>
        <w:overflowPunct/>
        <w:topLinePunct w:val="0"/>
        <w:autoSpaceDE/>
        <w:autoSpaceDN/>
        <w:bidi w:val="0"/>
        <w:adjustRightInd/>
        <w:snapToGrid/>
        <w:spacing w:line="360" w:lineRule="auto"/>
        <w:ind w:firstLine="480" w:firstLineChars="200"/>
        <w:rPr>
          <w:rFonts w:hint="eastAsia" w:ascii="黑体" w:hAnsi="黑体" w:eastAsia="黑体" w:cs="黑体"/>
          <w:sz w:val="24"/>
          <w:szCs w:val="24"/>
        </w:rPr>
      </w:pPr>
      <w:r>
        <w:rPr>
          <w:rFonts w:hint="eastAsia" w:ascii="黑体" w:hAnsi="黑体" w:eastAsia="黑体" w:cs="黑体"/>
          <w:sz w:val="24"/>
          <w:szCs w:val="24"/>
        </w:rPr>
        <w:t>2.以专项监督为抓手</w:t>
      </w:r>
    </w:p>
    <w:p>
      <w:pPr>
        <w:keepNext w:val="0"/>
        <w:keepLines w:val="0"/>
        <w:pageBreakBefore w:val="0"/>
        <w:widowControl/>
        <w:kinsoku/>
        <w:wordWrap/>
        <w:overflowPunct/>
        <w:topLinePunct w:val="0"/>
        <w:autoSpaceDE/>
        <w:autoSpaceDN/>
        <w:bidi w:val="0"/>
        <w:adjustRightInd/>
        <w:snapToGrid/>
        <w:spacing w:line="360" w:lineRule="auto"/>
        <w:ind w:left="0" w:leftChars="0" w:firstLine="480" w:firstLineChars="200"/>
        <w:contextualSpacing/>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通过统一部署、开展专项行动，统一粤港澳湾区公益诉讼工作开展步调。在同一时间内集合粤港澳湾区检察公益监督合力，为守护人民美好生活筑牢司法屏障。专项监督工作开展重点应为公益诉讼的传统法定领域，生态资源保护、食品药品安全领域为重中之重，应结合大湾区自身的特点，开展“水资源保护”、“海洋资源保护”、“打击食品走私”等专项，扭转过去各地区各自为政的办案局面，通过专项监督达到“1+1&gt;2”的公益保护目的。</w:t>
      </w:r>
    </w:p>
    <w:p>
      <w:pPr>
        <w:keepNext w:val="0"/>
        <w:keepLines w:val="0"/>
        <w:pageBreakBefore w:val="0"/>
        <w:widowControl/>
        <w:kinsoku/>
        <w:wordWrap/>
        <w:overflowPunct/>
        <w:topLinePunct w:val="0"/>
        <w:autoSpaceDE/>
        <w:autoSpaceDN/>
        <w:bidi w:val="0"/>
        <w:adjustRightInd/>
        <w:snapToGrid/>
        <w:spacing w:line="360" w:lineRule="auto"/>
        <w:ind w:left="0" w:leftChars="0" w:firstLine="480" w:firstLineChars="200"/>
        <w:contextualSpacing/>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专项监督应同时发挥好统一和分别的优势，既要发挥整体效应，也要发挥各地的特点和优势。一般情况下，在省检察院的统一部署下，各地检察机关根据当地实际情况各自推进。在专项监督过程中，省检加强工作统筹，加强工作信息通报、工作成果展示，及时协调解决工作中遇到的困难和问题，加强不同地域检察机关的协作配合，更好形成合力，增强整体效果。各地检察机关根据自身工作实际，在专项监督中做出本地检察监督工作的特色和亮点。对于专项监督中发现的，发生跨区域的严重损害公共利益的违法行为，上级检察机关可以通过提级办理，或者组织各相关地区下级检察院组成联合办案组办理，提高检察监督的针对性和实效性。</w:t>
      </w:r>
    </w:p>
    <w:p>
      <w:pPr>
        <w:keepNext w:val="0"/>
        <w:keepLines w:val="0"/>
        <w:pageBreakBefore w:val="0"/>
        <w:widowControl/>
        <w:kinsoku/>
        <w:wordWrap/>
        <w:overflowPunct/>
        <w:topLinePunct w:val="0"/>
        <w:autoSpaceDE/>
        <w:autoSpaceDN/>
        <w:bidi w:val="0"/>
        <w:adjustRightInd/>
        <w:snapToGrid/>
        <w:spacing w:line="360" w:lineRule="auto"/>
        <w:ind w:left="0" w:leftChars="0" w:firstLine="480" w:firstLineChars="200"/>
        <w:contextualSpacing/>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此外，通过组织专项监督行动，有利于促使各地检察机关逐步建立、形成常设的协作和联络机制，以及相关的信息互通、线索移送及反馈机制等，可以进一步促进粤港澳大湾区内地检察机关协作机制的形成和完善。</w:t>
      </w:r>
    </w:p>
    <w:p>
      <w:pPr>
        <w:keepNext w:val="0"/>
        <w:keepLines w:val="0"/>
        <w:pageBreakBefore w:val="0"/>
        <w:widowControl/>
        <w:kinsoku/>
        <w:wordWrap/>
        <w:overflowPunct/>
        <w:topLinePunct w:val="0"/>
        <w:autoSpaceDE/>
        <w:autoSpaceDN/>
        <w:bidi w:val="0"/>
        <w:adjustRightInd/>
        <w:snapToGrid/>
        <w:spacing w:line="360" w:lineRule="auto"/>
        <w:ind w:firstLine="480" w:firstLineChars="200"/>
        <w:rPr>
          <w:rFonts w:hint="eastAsia" w:ascii="黑体" w:hAnsi="黑体" w:eastAsia="黑体" w:cs="黑体"/>
          <w:sz w:val="24"/>
          <w:szCs w:val="24"/>
        </w:rPr>
      </w:pPr>
      <w:r>
        <w:rPr>
          <w:rFonts w:hint="eastAsia" w:ascii="黑体" w:hAnsi="黑体" w:eastAsia="黑体" w:cs="黑体"/>
          <w:sz w:val="24"/>
          <w:szCs w:val="24"/>
        </w:rPr>
        <w:t>3.以外力支持为动力</w:t>
      </w:r>
    </w:p>
    <w:p>
      <w:pPr>
        <w:keepNext w:val="0"/>
        <w:keepLines w:val="0"/>
        <w:pageBreakBefore w:val="0"/>
        <w:widowControl/>
        <w:kinsoku/>
        <w:wordWrap/>
        <w:overflowPunct/>
        <w:topLinePunct w:val="0"/>
        <w:autoSpaceDE/>
        <w:autoSpaceDN/>
        <w:bidi w:val="0"/>
        <w:adjustRightInd/>
        <w:snapToGrid/>
        <w:spacing w:line="360" w:lineRule="auto"/>
        <w:ind w:left="0" w:leftChars="0" w:firstLine="480" w:firstLineChars="200"/>
        <w:contextualSpacing/>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粤港澳大湾区内地检察机关应紧紧依靠党委领导和人大监督，积极稳妥履行民事检察公益诉讼职责，积极争取地方党委、人大、政府对检察公益诉讼工作的支持。如2020年7月29日，广东省第十三届人民代表大会常务委员会第二十二次会议全票通过了《广东省人民代表大会常务委员会关于加强检察公益诉讼工作的决定》，随后，广州、佛山、珠海等多地人大常委会也出台了加强检察公益诉讼工作的决定。内地九市以及九市各区的检察机关应继续争取地方党委以及人大对检察公益诉讼工作的支持，积极营造良好的外部环境。此外，各地还有积极探索检察机关与人民法院、行政机关、监察机关、相关社会组织的协作机制。只有全链条形成民事公益诉讼保护合力，多部门唱好公益诉讼“大合唱”，才能更好发挥民事公益诉讼在粤港澳湾区建设中的作用。</w:t>
      </w:r>
    </w:p>
    <w:p>
      <w:pPr>
        <w:keepNext w:val="0"/>
        <w:keepLines w:val="0"/>
        <w:pageBreakBefore w:val="0"/>
        <w:widowControl/>
        <w:numPr>
          <w:ilvl w:val="0"/>
          <w:numId w:val="0"/>
        </w:numPr>
        <w:kinsoku/>
        <w:wordWrap/>
        <w:overflowPunct/>
        <w:topLinePunct w:val="0"/>
        <w:autoSpaceDE/>
        <w:autoSpaceDN/>
        <w:bidi w:val="0"/>
        <w:adjustRightInd/>
        <w:snapToGrid/>
        <w:spacing w:line="360" w:lineRule="auto"/>
        <w:ind w:firstLine="560" w:firstLineChars="200"/>
        <w:rPr>
          <w:rFonts w:hint="eastAsia" w:ascii="黑体" w:hAnsi="黑体" w:eastAsia="黑体" w:cs="黑体"/>
          <w:sz w:val="28"/>
          <w:szCs w:val="28"/>
          <w:lang w:eastAsia="zh-CN"/>
        </w:rPr>
      </w:pPr>
      <w:r>
        <w:rPr>
          <w:rFonts w:hint="eastAsia" w:ascii="黑体" w:hAnsi="黑体" w:eastAsia="黑体" w:cs="黑体"/>
          <w:sz w:val="28"/>
          <w:szCs w:val="28"/>
          <w:lang w:eastAsia="zh-CN"/>
        </w:rPr>
        <w:t>（二）内地与港澳协作机制</w:t>
      </w:r>
    </w:p>
    <w:p>
      <w:pPr>
        <w:keepNext w:val="0"/>
        <w:keepLines w:val="0"/>
        <w:pageBreakBefore w:val="0"/>
        <w:widowControl/>
        <w:kinsoku/>
        <w:wordWrap/>
        <w:overflowPunct/>
        <w:topLinePunct w:val="0"/>
        <w:autoSpaceDE/>
        <w:autoSpaceDN/>
        <w:bidi w:val="0"/>
        <w:adjustRightInd/>
        <w:snapToGrid/>
        <w:spacing w:line="360" w:lineRule="auto"/>
        <w:ind w:left="0" w:leftChars="0" w:firstLine="480" w:firstLineChars="200"/>
        <w:contextualSpacing/>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内地九市要积极争取香港、澳门政府、司法机关、社会组织参与、支持民事检察公益诉讼协作。通过主动寻求合作，积极构建具体可行的司法协作机制。</w:t>
      </w:r>
    </w:p>
    <w:p>
      <w:pPr>
        <w:keepNext w:val="0"/>
        <w:keepLines w:val="0"/>
        <w:pageBreakBefore w:val="0"/>
        <w:widowControl/>
        <w:kinsoku/>
        <w:wordWrap/>
        <w:overflowPunct/>
        <w:topLinePunct w:val="0"/>
        <w:autoSpaceDE/>
        <w:autoSpaceDN/>
        <w:bidi w:val="0"/>
        <w:adjustRightInd/>
        <w:snapToGrid/>
        <w:spacing w:line="360" w:lineRule="auto"/>
        <w:ind w:firstLine="480" w:firstLineChars="200"/>
        <w:rPr>
          <w:rFonts w:hint="eastAsia" w:ascii="黑体" w:hAnsi="黑体" w:eastAsia="黑体" w:cs="黑体"/>
          <w:sz w:val="24"/>
          <w:szCs w:val="24"/>
        </w:rPr>
      </w:pPr>
      <w:r>
        <w:rPr>
          <w:rFonts w:hint="eastAsia" w:ascii="黑体" w:hAnsi="黑体" w:eastAsia="黑体" w:cs="黑体"/>
          <w:sz w:val="24"/>
          <w:szCs w:val="24"/>
        </w:rPr>
        <w:t>1.协以求同</w:t>
      </w:r>
    </w:p>
    <w:p>
      <w:pPr>
        <w:keepNext w:val="0"/>
        <w:keepLines w:val="0"/>
        <w:pageBreakBefore w:val="0"/>
        <w:widowControl/>
        <w:kinsoku/>
        <w:wordWrap/>
        <w:overflowPunct/>
        <w:topLinePunct w:val="0"/>
        <w:autoSpaceDE/>
        <w:autoSpaceDN/>
        <w:bidi w:val="0"/>
        <w:adjustRightInd/>
        <w:snapToGrid/>
        <w:spacing w:line="360" w:lineRule="auto"/>
        <w:ind w:left="0" w:leftChars="0" w:firstLine="480" w:firstLineChars="200"/>
        <w:contextualSpacing/>
        <w:rPr>
          <w:rFonts w:ascii="宋体" w:hAnsi="宋体" w:cs="宋体"/>
          <w:color w:val="000000"/>
          <w:sz w:val="28"/>
          <w:szCs w:val="28"/>
        </w:rPr>
      </w:pPr>
      <w:r>
        <w:rPr>
          <w:rFonts w:hint="eastAsia" w:ascii="宋体" w:hAnsi="宋体" w:eastAsia="宋体" w:cs="宋体"/>
          <w:b w:val="0"/>
          <w:bCs w:val="0"/>
          <w:kern w:val="2"/>
          <w:sz w:val="24"/>
          <w:szCs w:val="24"/>
          <w:lang w:val="en-US" w:eastAsia="zh-CN" w:bidi="ar-SA"/>
        </w:rPr>
        <w:t>要做一事，必先求同，凝聚共识。如上文的分析，尽管粤港澳三地在法律制度和司法传统上有较大不同，但纵观民事公益诉讼制度的历史演进与法律发展过程，通过民事诉讼的方式维护公共利益的做法有许多趋同之处，</w:t>
      </w:r>
      <w:r>
        <w:rPr>
          <w:rFonts w:hint="eastAsia" w:ascii="宋体" w:hAnsi="宋体" w:cs="宋体"/>
          <w:b w:val="0"/>
          <w:bCs w:val="0"/>
          <w:kern w:val="2"/>
          <w:sz w:val="24"/>
          <w:szCs w:val="24"/>
          <w:lang w:val="en-US" w:eastAsia="zh-CN" w:bidi="ar-SA"/>
        </w:rPr>
        <w:t>成</w:t>
      </w:r>
      <w:r>
        <w:rPr>
          <w:rFonts w:hint="eastAsia" w:ascii="宋体" w:hAnsi="宋体" w:eastAsia="宋体" w:cs="宋体"/>
          <w:b w:val="0"/>
          <w:bCs w:val="0"/>
          <w:kern w:val="2"/>
          <w:sz w:val="24"/>
          <w:szCs w:val="24"/>
          <w:lang w:val="en-US" w:eastAsia="zh-CN" w:bidi="ar-SA"/>
        </w:rPr>
        <w:t>为粤港澳三地建立协作机制的内部动因。</w:t>
      </w:r>
    </w:p>
    <w:p>
      <w:pPr>
        <w:keepNext w:val="0"/>
        <w:keepLines w:val="0"/>
        <w:pageBreakBefore w:val="0"/>
        <w:widowControl/>
        <w:kinsoku/>
        <w:wordWrap/>
        <w:overflowPunct/>
        <w:topLinePunct w:val="0"/>
        <w:autoSpaceDE/>
        <w:autoSpaceDN/>
        <w:bidi w:val="0"/>
        <w:adjustRightInd/>
        <w:snapToGrid/>
        <w:spacing w:line="360" w:lineRule="auto"/>
        <w:ind w:left="0" w:leftChars="0" w:firstLine="480" w:firstLineChars="200"/>
        <w:contextualSpacing/>
        <w:rPr>
          <w:rFonts w:hint="eastAsia" w:ascii="宋体" w:hAnsi="宋体" w:eastAsia="宋体" w:cs="宋体"/>
          <w:b w:val="0"/>
          <w:bCs w:val="0"/>
          <w:kern w:val="2"/>
          <w:sz w:val="24"/>
          <w:szCs w:val="24"/>
          <w:lang w:val="en-US" w:eastAsia="zh-CN" w:bidi="ar-SA"/>
        </w:rPr>
      </w:pPr>
      <w:r>
        <w:rPr>
          <w:rFonts w:hint="eastAsia" w:ascii="宋体" w:hAnsi="宋体" w:cs="宋体"/>
          <w:b w:val="0"/>
          <w:bCs w:val="0"/>
          <w:kern w:val="2"/>
          <w:sz w:val="24"/>
          <w:szCs w:val="24"/>
          <w:lang w:val="en-US" w:eastAsia="zh-CN" w:bidi="ar-SA"/>
        </w:rPr>
        <w:t>求同第一步</w:t>
      </w:r>
      <w:r>
        <w:rPr>
          <w:rFonts w:hint="eastAsia" w:ascii="宋体" w:hAnsi="宋体" w:eastAsia="宋体" w:cs="宋体"/>
          <w:b w:val="0"/>
          <w:bCs w:val="0"/>
          <w:kern w:val="2"/>
          <w:sz w:val="24"/>
          <w:szCs w:val="24"/>
          <w:lang w:val="en-US" w:eastAsia="zh-CN" w:bidi="ar-SA"/>
        </w:rPr>
        <w:t>——促使更大范围保护公益成为协作订立的核心要旨。粤港澳三地所要保护的公益不仅是9+2地区的各自利益，而是整个粤港澳大湾区的公益。此处的公益应参照香港地区定义为“公共事务”较为合适，还是以内地、澳门定义为“多数人利益”、“不特定多数人利益”较为合适？三者并非没有契合点，香港的“公共事务”如果已经涉及到粤港澳大湾区众多人的合法权益，则已与内地、澳门民事公益诉讼所要保护的对象相一致。在三地协作过程中，可以以求最大公约数的方式，提取粤港澳三地对社会公共利益的共识。然后</w:t>
      </w:r>
      <w:r>
        <w:rPr>
          <w:rFonts w:hint="eastAsia" w:ascii="宋体" w:hAnsi="宋体" w:cs="宋体"/>
          <w:b w:val="0"/>
          <w:bCs w:val="0"/>
          <w:kern w:val="2"/>
          <w:sz w:val="24"/>
          <w:szCs w:val="24"/>
          <w:lang w:val="en-US" w:eastAsia="zh-CN" w:bidi="ar-SA"/>
        </w:rPr>
        <w:t>再</w:t>
      </w:r>
      <w:r>
        <w:rPr>
          <w:rFonts w:hint="eastAsia" w:ascii="宋体" w:hAnsi="宋体" w:eastAsia="宋体" w:cs="宋体"/>
          <w:b w:val="0"/>
          <w:bCs w:val="0"/>
          <w:kern w:val="2"/>
          <w:sz w:val="24"/>
          <w:szCs w:val="24"/>
          <w:lang w:val="en-US" w:eastAsia="zh-CN" w:bidi="ar-SA"/>
        </w:rPr>
        <w:t>以求最小公倍数的方式，促使粤港澳三地就同一社会公共利益形成保护的共同体，各自从不同角度、不同层面采取不同法律措施实现对该公共利益保护效益的最大化，以站在三地又高于三地的格局，衡量该定义是否最有利于本阶段粤港澳大湾区的建设</w:t>
      </w:r>
      <w:r>
        <w:rPr>
          <w:rFonts w:hint="eastAsia" w:ascii="宋体" w:hAnsi="宋体" w:cs="宋体"/>
          <w:b w:val="0"/>
          <w:bCs w:val="0"/>
          <w:kern w:val="2"/>
          <w:sz w:val="24"/>
          <w:szCs w:val="24"/>
          <w:lang w:val="en-US" w:eastAsia="zh-CN" w:bidi="ar-SA"/>
        </w:rPr>
        <w:t>发展</w:t>
      </w:r>
      <w:r>
        <w:rPr>
          <w:rFonts w:hint="eastAsia" w:ascii="宋体" w:hAnsi="宋体" w:eastAsia="宋体" w:cs="宋体"/>
          <w:b w:val="0"/>
          <w:bCs w:val="0"/>
          <w:kern w:val="2"/>
          <w:sz w:val="24"/>
          <w:szCs w:val="24"/>
          <w:lang w:val="en-US" w:eastAsia="zh-CN" w:bidi="ar-SA"/>
        </w:rPr>
        <w:t>。</w:t>
      </w:r>
    </w:p>
    <w:p>
      <w:pPr>
        <w:keepNext w:val="0"/>
        <w:keepLines w:val="0"/>
        <w:pageBreakBefore w:val="0"/>
        <w:widowControl/>
        <w:kinsoku/>
        <w:wordWrap/>
        <w:overflowPunct/>
        <w:topLinePunct w:val="0"/>
        <w:autoSpaceDE/>
        <w:autoSpaceDN/>
        <w:bidi w:val="0"/>
        <w:adjustRightInd/>
        <w:snapToGrid/>
        <w:spacing w:line="360" w:lineRule="auto"/>
        <w:ind w:left="0" w:leftChars="0" w:firstLine="480" w:firstLineChars="200"/>
        <w:contextualSpacing/>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求同第二步——以生态环境保护和食品药品安全领域消费者保护领域作为协作试点领域。由于这两个领域中出现的涉及公共利益的问题，往往与</w:t>
      </w:r>
      <w:r>
        <w:rPr>
          <w:rFonts w:hint="eastAsia" w:ascii="宋体" w:hAnsi="宋体" w:cs="宋体"/>
          <w:b w:val="0"/>
          <w:bCs w:val="0"/>
          <w:kern w:val="2"/>
          <w:sz w:val="24"/>
          <w:szCs w:val="24"/>
          <w:lang w:val="en-US" w:eastAsia="zh-CN" w:bidi="ar-SA"/>
        </w:rPr>
        <w:t>粤港澳</w:t>
      </w:r>
      <w:r>
        <w:rPr>
          <w:rFonts w:hint="eastAsia" w:ascii="宋体" w:hAnsi="宋体" w:eastAsia="宋体" w:cs="宋体"/>
          <w:b w:val="0"/>
          <w:bCs w:val="0"/>
          <w:kern w:val="2"/>
          <w:sz w:val="24"/>
          <w:szCs w:val="24"/>
          <w:lang w:val="en-US" w:eastAsia="zh-CN" w:bidi="ar-SA"/>
        </w:rPr>
        <w:t>大湾区居民日常生产生活息息相关，特别是生态环境保护领域的民事检察公益诉讼，各地都有一些成功的实践经验，且已经建立了一定的合作项目。如，在水环境治理方面，粤港澳三地开展了东江水、深圳河、大鹏湾、珠江口等主要跨界河流域环境整治项目合作</w:t>
      </w:r>
      <w:r>
        <w:rPr>
          <w:rFonts w:hint="eastAsia" w:ascii="宋体" w:hAnsi="宋体" w:eastAsia="宋体" w:cs="宋体"/>
          <w:b w:val="0"/>
          <w:bCs w:val="0"/>
          <w:kern w:val="2"/>
          <w:sz w:val="24"/>
          <w:szCs w:val="24"/>
          <w:vertAlign w:val="superscript"/>
          <w:lang w:val="en-US" w:eastAsia="zh-CN" w:bidi="ar-SA"/>
        </w:rPr>
        <w:footnoteReference w:id="28"/>
      </w:r>
      <w:r>
        <w:rPr>
          <w:rFonts w:hint="eastAsia" w:ascii="宋体" w:hAnsi="宋体" w:eastAsia="宋体" w:cs="宋体"/>
          <w:b w:val="0"/>
          <w:bCs w:val="0"/>
          <w:kern w:val="2"/>
          <w:sz w:val="24"/>
          <w:szCs w:val="24"/>
          <w:lang w:val="en-US" w:eastAsia="zh-CN" w:bidi="ar-SA"/>
        </w:rPr>
        <w:t>，在此基础上再探索民事公益诉讼机制的协作配合，相对更容易取得共识，也更容易见成效，从而带动其他领域的探索和实践。通过三地均认同的领域作为民事公益诉讼协作的切入点，再通过以点带面的形式，进一步推动大湾区的其他领域民事公益诉讼的协作</w:t>
      </w:r>
      <w:r>
        <w:rPr>
          <w:rFonts w:hint="eastAsia" w:ascii="宋体" w:hAnsi="宋体" w:cs="宋体"/>
          <w:b w:val="0"/>
          <w:bCs w:val="0"/>
          <w:kern w:val="2"/>
          <w:sz w:val="24"/>
          <w:szCs w:val="24"/>
          <w:lang w:val="en-US" w:eastAsia="zh-CN" w:bidi="ar-SA"/>
        </w:rPr>
        <w:t>具有现实意义</w:t>
      </w:r>
      <w:r>
        <w:rPr>
          <w:rFonts w:hint="eastAsia" w:ascii="宋体" w:hAnsi="宋体" w:eastAsia="宋体" w:cs="宋体"/>
          <w:b w:val="0"/>
          <w:bCs w:val="0"/>
          <w:kern w:val="2"/>
          <w:sz w:val="24"/>
          <w:szCs w:val="24"/>
          <w:lang w:val="en-US" w:eastAsia="zh-CN" w:bidi="ar-SA"/>
        </w:rPr>
        <w:t>。</w:t>
      </w:r>
    </w:p>
    <w:p>
      <w:pPr>
        <w:keepNext w:val="0"/>
        <w:keepLines w:val="0"/>
        <w:pageBreakBefore w:val="0"/>
        <w:widowControl/>
        <w:kinsoku/>
        <w:wordWrap/>
        <w:overflowPunct/>
        <w:topLinePunct w:val="0"/>
        <w:autoSpaceDE/>
        <w:autoSpaceDN/>
        <w:bidi w:val="0"/>
        <w:adjustRightInd/>
        <w:snapToGrid/>
        <w:spacing w:line="360" w:lineRule="auto"/>
        <w:ind w:left="0" w:leftChars="0" w:firstLine="480" w:firstLineChars="200"/>
        <w:contextualSpacing/>
        <w:rPr>
          <w:rFonts w:hint="eastAsia" w:ascii="宋体" w:hAnsi="宋体" w:eastAsia="宋体" w:cs="宋体"/>
          <w:b w:val="0"/>
          <w:bCs w:val="0"/>
          <w:kern w:val="2"/>
          <w:sz w:val="24"/>
          <w:szCs w:val="24"/>
          <w:lang w:val="en-US" w:eastAsia="zh-CN" w:bidi="ar-SA"/>
        </w:rPr>
      </w:pPr>
      <w:r>
        <w:rPr>
          <w:rFonts w:hint="eastAsia" w:ascii="宋体" w:hAnsi="宋体" w:cs="宋体"/>
          <w:b w:val="0"/>
          <w:bCs w:val="0"/>
          <w:kern w:val="2"/>
          <w:sz w:val="24"/>
          <w:szCs w:val="24"/>
          <w:lang w:val="en-US" w:eastAsia="zh-CN" w:bidi="ar-SA"/>
        </w:rPr>
        <w:t>求同第三步</w:t>
      </w:r>
      <w:r>
        <w:rPr>
          <w:rFonts w:hint="eastAsia" w:ascii="宋体" w:hAnsi="宋体" w:eastAsia="宋体" w:cs="宋体"/>
          <w:b w:val="0"/>
          <w:bCs w:val="0"/>
          <w:kern w:val="2"/>
          <w:sz w:val="24"/>
          <w:szCs w:val="24"/>
          <w:lang w:val="en-US" w:eastAsia="zh-CN" w:bidi="ar-SA"/>
        </w:rPr>
        <w:t>——以检察机关为</w:t>
      </w:r>
      <w:r>
        <w:rPr>
          <w:rFonts w:hint="eastAsia" w:ascii="宋体" w:hAnsi="宋体" w:cs="宋体"/>
          <w:b w:val="0"/>
          <w:bCs w:val="0"/>
          <w:kern w:val="2"/>
          <w:sz w:val="24"/>
          <w:szCs w:val="24"/>
          <w:lang w:val="en-US" w:eastAsia="zh-CN" w:bidi="ar-SA"/>
        </w:rPr>
        <w:t>作为</w:t>
      </w:r>
      <w:r>
        <w:rPr>
          <w:rFonts w:hint="eastAsia" w:ascii="宋体" w:hAnsi="宋体" w:eastAsia="宋体" w:cs="宋体"/>
          <w:b w:val="0"/>
          <w:bCs w:val="0"/>
          <w:kern w:val="2"/>
          <w:sz w:val="24"/>
          <w:szCs w:val="24"/>
          <w:lang w:val="en-US" w:eastAsia="zh-CN" w:bidi="ar-SA"/>
        </w:rPr>
        <w:t>民事公益诉讼协作中的协商主体。内地的检察机关、香港的律政司、澳门的检察院，其职权尽管均不相同，但都承担了维护公共利益的责任。且三地的检察机关均是当地的司法机关，在港澳回归后，曾多次就司法工作进行沟通交流。此外，司法机关比社会组织所拥有的权力更多，其所作出的决定社会影响力更高，</w:t>
      </w:r>
      <w:r>
        <w:rPr>
          <w:rFonts w:hint="eastAsia" w:ascii="宋体" w:hAnsi="宋体" w:cs="宋体"/>
          <w:b w:val="0"/>
          <w:bCs w:val="0"/>
          <w:kern w:val="2"/>
          <w:sz w:val="24"/>
          <w:szCs w:val="24"/>
          <w:lang w:val="en-US" w:eastAsia="zh-CN" w:bidi="ar-SA"/>
        </w:rPr>
        <w:t>更能使公众信服，</w:t>
      </w:r>
      <w:r>
        <w:rPr>
          <w:rFonts w:hint="eastAsia" w:ascii="宋体" w:hAnsi="宋体" w:eastAsia="宋体" w:cs="宋体"/>
          <w:b w:val="0"/>
          <w:bCs w:val="0"/>
          <w:kern w:val="2"/>
          <w:sz w:val="24"/>
          <w:szCs w:val="24"/>
          <w:lang w:val="en-US" w:eastAsia="zh-CN" w:bidi="ar-SA"/>
        </w:rPr>
        <w:t>故其成为民事公益诉讼机制的协商主体，能更好地促使机制得到高效的运行。</w:t>
      </w:r>
    </w:p>
    <w:p>
      <w:pPr>
        <w:keepNext w:val="0"/>
        <w:keepLines w:val="0"/>
        <w:pageBreakBefore w:val="0"/>
        <w:widowControl/>
        <w:kinsoku/>
        <w:wordWrap/>
        <w:overflowPunct/>
        <w:topLinePunct w:val="0"/>
        <w:autoSpaceDE/>
        <w:autoSpaceDN/>
        <w:bidi w:val="0"/>
        <w:adjustRightInd/>
        <w:snapToGrid/>
        <w:spacing w:line="360" w:lineRule="auto"/>
        <w:ind w:left="0" w:leftChars="0" w:firstLine="480" w:firstLineChars="200"/>
        <w:contextualSpacing/>
        <w:rPr>
          <w:rFonts w:hint="eastAsia" w:ascii="宋体" w:hAnsi="宋体" w:eastAsia="宋体" w:cs="宋体"/>
          <w:b w:val="0"/>
          <w:bCs w:val="0"/>
          <w:kern w:val="2"/>
          <w:sz w:val="24"/>
          <w:szCs w:val="24"/>
          <w:lang w:val="en-US" w:eastAsia="zh-CN" w:bidi="ar-SA"/>
        </w:rPr>
      </w:pPr>
      <w:r>
        <w:rPr>
          <w:rFonts w:hint="eastAsia" w:ascii="宋体" w:hAnsi="宋体" w:cs="宋体"/>
          <w:b w:val="0"/>
          <w:bCs w:val="0"/>
          <w:kern w:val="2"/>
          <w:sz w:val="24"/>
          <w:szCs w:val="24"/>
          <w:lang w:val="en-US" w:eastAsia="zh-CN" w:bidi="ar-SA"/>
        </w:rPr>
        <w:t>求同第四步</w:t>
      </w:r>
      <w:r>
        <w:rPr>
          <w:rFonts w:hint="eastAsia" w:ascii="宋体" w:hAnsi="宋体" w:eastAsia="宋体" w:cs="宋体"/>
          <w:b w:val="0"/>
          <w:bCs w:val="0"/>
          <w:kern w:val="2"/>
          <w:sz w:val="24"/>
          <w:szCs w:val="24"/>
          <w:lang w:val="en-US" w:eastAsia="zh-CN" w:bidi="ar-SA"/>
        </w:rPr>
        <w:t>——</w:t>
      </w:r>
      <w:r>
        <w:rPr>
          <w:rFonts w:hint="eastAsia" w:ascii="宋体" w:hAnsi="宋体" w:cs="宋体"/>
          <w:b w:val="0"/>
          <w:bCs w:val="0"/>
          <w:kern w:val="2"/>
          <w:sz w:val="24"/>
          <w:szCs w:val="24"/>
          <w:lang w:val="en-US" w:eastAsia="zh-CN" w:bidi="ar-SA"/>
        </w:rPr>
        <w:t>让“</w:t>
      </w:r>
      <w:r>
        <w:rPr>
          <w:rFonts w:hint="eastAsia" w:ascii="宋体" w:hAnsi="宋体" w:eastAsia="宋体" w:cs="宋体"/>
          <w:b w:val="0"/>
          <w:bCs w:val="0"/>
          <w:kern w:val="2"/>
          <w:sz w:val="24"/>
          <w:szCs w:val="24"/>
          <w:lang w:val="en-US" w:eastAsia="zh-CN" w:bidi="ar-SA"/>
        </w:rPr>
        <w:t>检察机关+社会团体</w:t>
      </w:r>
      <w:r>
        <w:rPr>
          <w:rFonts w:hint="eastAsia" w:ascii="宋体" w:hAnsi="宋体" w:cs="宋体"/>
          <w:b w:val="0"/>
          <w:bCs w:val="0"/>
          <w:kern w:val="2"/>
          <w:sz w:val="24"/>
          <w:szCs w:val="24"/>
          <w:lang w:val="en-US" w:eastAsia="zh-CN" w:bidi="ar-SA"/>
        </w:rPr>
        <w:t>”模式</w:t>
      </w:r>
      <w:r>
        <w:rPr>
          <w:rFonts w:hint="eastAsia" w:ascii="宋体" w:hAnsi="宋体" w:eastAsia="宋体" w:cs="宋体"/>
          <w:b w:val="0"/>
          <w:bCs w:val="0"/>
          <w:kern w:val="2"/>
          <w:sz w:val="24"/>
          <w:szCs w:val="24"/>
          <w:lang w:val="en-US" w:eastAsia="zh-CN" w:bidi="ar-SA"/>
        </w:rPr>
        <w:t>成为民事公益诉讼协作中的重要内容。内地、香港、澳门三地所诉利益涉及到社会组织利益以及涉及该组织宗旨的，社会组织（团体）能成为起诉的主体。检察机关与社会团体相较于个人而言，在民事公益诉讼案件中具有更强的调查取证能力、更丰富的法律</w:t>
      </w:r>
      <w:r>
        <w:rPr>
          <w:rFonts w:hint="eastAsia" w:ascii="宋体" w:hAnsi="宋体" w:cs="宋体"/>
          <w:b w:val="0"/>
          <w:bCs w:val="0"/>
          <w:kern w:val="2"/>
          <w:sz w:val="24"/>
          <w:szCs w:val="24"/>
          <w:lang w:val="en-US" w:eastAsia="zh-CN" w:bidi="ar-SA"/>
        </w:rPr>
        <w:t>诉讼经验</w:t>
      </w:r>
      <w:r>
        <w:rPr>
          <w:rFonts w:hint="eastAsia" w:ascii="宋体" w:hAnsi="宋体" w:eastAsia="宋体" w:cs="宋体"/>
          <w:b w:val="0"/>
          <w:bCs w:val="0"/>
          <w:kern w:val="2"/>
          <w:sz w:val="24"/>
          <w:szCs w:val="24"/>
          <w:lang w:val="en-US" w:eastAsia="zh-CN" w:bidi="ar-SA"/>
        </w:rPr>
        <w:t>以及更强的经济实力。结合各地检察机关职能不相同，特别在香港地区，检察机关在公共利益保护中主要体现在其具有“检控”职能</w:t>
      </w:r>
      <w:r>
        <w:rPr>
          <w:rFonts w:hint="eastAsia" w:ascii="宋体" w:hAnsi="宋体" w:cs="宋体"/>
          <w:b w:val="0"/>
          <w:bCs w:val="0"/>
          <w:kern w:val="2"/>
          <w:sz w:val="24"/>
          <w:szCs w:val="24"/>
          <w:lang w:val="en-US" w:eastAsia="zh-CN" w:bidi="ar-SA"/>
        </w:rPr>
        <w:t>的现实</w:t>
      </w:r>
      <w:r>
        <w:rPr>
          <w:rFonts w:hint="eastAsia" w:ascii="宋体" w:hAnsi="宋体" w:eastAsia="宋体" w:cs="宋体"/>
          <w:b w:val="0"/>
          <w:bCs w:val="0"/>
          <w:kern w:val="2"/>
          <w:sz w:val="24"/>
          <w:szCs w:val="24"/>
          <w:lang w:val="en-US" w:eastAsia="zh-CN" w:bidi="ar-SA"/>
        </w:rPr>
        <w:t>，社会组织作为三地民事公益诉讼</w:t>
      </w:r>
      <w:r>
        <w:rPr>
          <w:rFonts w:hint="eastAsia" w:ascii="宋体" w:hAnsi="宋体" w:cs="宋体"/>
          <w:b w:val="0"/>
          <w:bCs w:val="0"/>
          <w:kern w:val="2"/>
          <w:sz w:val="24"/>
          <w:szCs w:val="24"/>
          <w:lang w:val="en-US" w:eastAsia="zh-CN" w:bidi="ar-SA"/>
        </w:rPr>
        <w:t>参与</w:t>
      </w:r>
      <w:r>
        <w:rPr>
          <w:rFonts w:hint="eastAsia" w:ascii="宋体" w:hAnsi="宋体" w:eastAsia="宋体" w:cs="宋体"/>
          <w:b w:val="0"/>
          <w:bCs w:val="0"/>
          <w:kern w:val="2"/>
          <w:sz w:val="24"/>
          <w:szCs w:val="24"/>
          <w:lang w:val="en-US" w:eastAsia="zh-CN" w:bidi="ar-SA"/>
        </w:rPr>
        <w:t>主体之一，</w:t>
      </w:r>
      <w:r>
        <w:rPr>
          <w:rFonts w:hint="eastAsia" w:ascii="宋体" w:hAnsi="宋体" w:cs="宋体"/>
          <w:b w:val="0"/>
          <w:bCs w:val="0"/>
          <w:kern w:val="2"/>
          <w:sz w:val="24"/>
          <w:szCs w:val="24"/>
          <w:lang w:val="en-US" w:eastAsia="zh-CN" w:bidi="ar-SA"/>
        </w:rPr>
        <w:t>并</w:t>
      </w:r>
      <w:r>
        <w:rPr>
          <w:rFonts w:hint="eastAsia" w:ascii="宋体" w:hAnsi="宋体" w:eastAsia="宋体" w:cs="宋体"/>
          <w:b w:val="0"/>
          <w:bCs w:val="0"/>
          <w:kern w:val="2"/>
          <w:sz w:val="24"/>
          <w:szCs w:val="24"/>
          <w:lang w:val="en-US" w:eastAsia="zh-CN" w:bidi="ar-SA"/>
        </w:rPr>
        <w:t>参与到协作机制的订立中显得十分重要。近5年来，粤港澳大湾区珠三角九市检察机关依法支持社会组织提起公益诉讼16件，合力促进了双方大湾区以及周边地区的跨区海洋、森林等综合保护，为美丽湾区建设贡献了一份宝贵的力量。检察机关要积极争取让更多的社会力量参与到粤港澳大湾区的建设过程中，切实形成检察机关+社会组织协同的民事公益诉讼格局，三地的检察机关与社会组织就加强案件线索提供、线索移送、支持起诉、提供法律支持、联合培训等多方面加强协作，凝聚大湾区公益保护共识，切实打造社会治理共同体。</w:t>
      </w:r>
    </w:p>
    <w:p>
      <w:pPr>
        <w:keepNext w:val="0"/>
        <w:keepLines w:val="0"/>
        <w:pageBreakBefore w:val="0"/>
        <w:widowControl/>
        <w:kinsoku/>
        <w:wordWrap/>
        <w:overflowPunct/>
        <w:topLinePunct w:val="0"/>
        <w:autoSpaceDE/>
        <w:autoSpaceDN/>
        <w:bidi w:val="0"/>
        <w:adjustRightInd/>
        <w:snapToGrid/>
        <w:spacing w:line="360" w:lineRule="auto"/>
        <w:ind w:firstLine="480" w:firstLineChars="200"/>
        <w:rPr>
          <w:rFonts w:hint="eastAsia" w:ascii="黑体" w:hAnsi="黑体" w:eastAsia="黑体" w:cs="黑体"/>
          <w:sz w:val="24"/>
          <w:szCs w:val="24"/>
        </w:rPr>
      </w:pPr>
      <w:r>
        <w:rPr>
          <w:rFonts w:hint="eastAsia" w:ascii="黑体" w:hAnsi="黑体" w:eastAsia="黑体" w:cs="黑体"/>
          <w:sz w:val="24"/>
          <w:szCs w:val="24"/>
        </w:rPr>
        <w:t>2.商以成事</w:t>
      </w:r>
    </w:p>
    <w:p>
      <w:pPr>
        <w:keepNext w:val="0"/>
        <w:keepLines w:val="0"/>
        <w:pageBreakBefore w:val="0"/>
        <w:widowControl/>
        <w:kinsoku/>
        <w:wordWrap/>
        <w:overflowPunct/>
        <w:topLinePunct w:val="0"/>
        <w:autoSpaceDE/>
        <w:autoSpaceDN/>
        <w:bidi w:val="0"/>
        <w:adjustRightInd/>
        <w:snapToGrid/>
        <w:spacing w:line="360" w:lineRule="auto"/>
        <w:ind w:left="0" w:leftChars="0" w:firstLine="480" w:firstLineChars="200"/>
        <w:contextualSpacing/>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持续不断的协商与沟通是协作机制订立的重要环节。内地检察机关与社会组织要主动加强同香港、澳门政府及相关部门沟通交流，学习港澳地区政府在公共利益保护方面的先进经验和做法。主动向香港司法机关、澳门地区法院、检察院学习，学习司法机关在公共利益保护方面的做法和经验。找准适当的时机与港澳地区的公益组织、社会群体交流，学习社会力量如何参与公共利益保护工作。</w:t>
      </w:r>
    </w:p>
    <w:p>
      <w:pPr>
        <w:keepNext w:val="0"/>
        <w:keepLines w:val="0"/>
        <w:pageBreakBefore w:val="0"/>
        <w:widowControl/>
        <w:kinsoku/>
        <w:wordWrap/>
        <w:overflowPunct/>
        <w:topLinePunct w:val="0"/>
        <w:autoSpaceDE/>
        <w:autoSpaceDN/>
        <w:bidi w:val="0"/>
        <w:adjustRightInd/>
        <w:snapToGrid/>
        <w:spacing w:line="360" w:lineRule="auto"/>
        <w:ind w:left="0" w:leftChars="0" w:firstLine="480" w:firstLineChars="200"/>
        <w:contextualSpacing/>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发挥平台的作用促进协作。作为“一国两制”下跨域治理的探索，粤港澳大湾区形成了“前海模式”、“横琴模式”和“南沙模式“，丰硕成果有目共睹。</w:t>
      </w:r>
      <w:r>
        <w:rPr>
          <w:rFonts w:hint="eastAsia" w:ascii="宋体" w:hAnsi="宋体" w:eastAsia="宋体" w:cs="宋体"/>
          <w:b w:val="0"/>
          <w:bCs w:val="0"/>
          <w:kern w:val="2"/>
          <w:sz w:val="24"/>
          <w:szCs w:val="24"/>
          <w:vertAlign w:val="superscript"/>
          <w:lang w:val="en-US" w:eastAsia="zh-CN" w:bidi="ar-SA"/>
        </w:rPr>
        <w:footnoteReference w:id="29"/>
      </w:r>
      <w:r>
        <w:rPr>
          <w:rFonts w:hint="eastAsia" w:ascii="宋体" w:hAnsi="宋体" w:eastAsia="宋体" w:cs="宋体"/>
          <w:b w:val="0"/>
          <w:bCs w:val="0"/>
          <w:kern w:val="2"/>
          <w:sz w:val="24"/>
          <w:szCs w:val="24"/>
          <w:lang w:val="en-US" w:eastAsia="zh-CN" w:bidi="ar-SA"/>
        </w:rPr>
        <w:t>与此同时，深圳前海蛇口自贸区人民检察院、广东省横琴粤澳深度合作区人民检察院以及广州市南沙区人民检察院应充分利用好地理优势与政策优势，结合各自在民事公益诉讼工作中开展的实际情况，与香港、澳门的相关部门通过协商设计出更符合粤港澳大湾区实际情况的民事公益诉讼协作制度。另外，三地也应该充分运用广东检察机关依托区位优势，搭建的三地合作交流平台，如“法治前海研究基地”“粤港澳司法合作前海论坛”等加强协商。</w:t>
      </w:r>
    </w:p>
    <w:p>
      <w:pPr>
        <w:keepNext w:val="0"/>
        <w:keepLines w:val="0"/>
        <w:pageBreakBefore w:val="0"/>
        <w:widowControl/>
        <w:kinsoku/>
        <w:wordWrap/>
        <w:overflowPunct/>
        <w:topLinePunct w:val="0"/>
        <w:autoSpaceDE/>
        <w:autoSpaceDN/>
        <w:bidi w:val="0"/>
        <w:adjustRightInd/>
        <w:snapToGrid/>
        <w:spacing w:line="360" w:lineRule="auto"/>
        <w:ind w:left="0" w:leftChars="0" w:firstLine="480" w:firstLineChars="200"/>
        <w:contextualSpacing/>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通过信息的共享加强协作。基于互惠原则，我们应秉持开放包容的态度，通过加快信息共享的频率、扩大信息共享的范围，让与公共利益有关的问题成为</w:t>
      </w:r>
      <w:r>
        <w:rPr>
          <w:rFonts w:hint="eastAsia" w:ascii="宋体" w:hAnsi="宋体" w:cs="宋体"/>
          <w:b w:val="0"/>
          <w:bCs w:val="0"/>
          <w:kern w:val="2"/>
          <w:sz w:val="24"/>
          <w:szCs w:val="24"/>
          <w:lang w:val="en-US" w:eastAsia="zh-CN" w:bidi="ar-SA"/>
        </w:rPr>
        <w:t>粤港澳</w:t>
      </w:r>
      <w:r>
        <w:rPr>
          <w:rFonts w:hint="eastAsia" w:ascii="宋体" w:hAnsi="宋体" w:eastAsia="宋体" w:cs="宋体"/>
          <w:b w:val="0"/>
          <w:bCs w:val="0"/>
          <w:kern w:val="2"/>
          <w:sz w:val="24"/>
          <w:szCs w:val="24"/>
          <w:lang w:val="en-US" w:eastAsia="zh-CN" w:bidi="ar-SA"/>
        </w:rPr>
        <w:t>大湾区三地都关注的问题。可共享的信息不仅限于具有跨地域性质的民事公益诉讼线索</w:t>
      </w:r>
      <w:r>
        <w:rPr>
          <w:rFonts w:hint="eastAsia" w:ascii="宋体" w:hAnsi="宋体" w:cs="宋体"/>
          <w:b w:val="0"/>
          <w:bCs w:val="0"/>
          <w:kern w:val="2"/>
          <w:sz w:val="24"/>
          <w:szCs w:val="24"/>
          <w:lang w:val="en-US" w:eastAsia="zh-CN" w:bidi="ar-SA"/>
        </w:rPr>
        <w:t>，还可以包括</w:t>
      </w:r>
      <w:r>
        <w:rPr>
          <w:rFonts w:hint="eastAsia" w:ascii="宋体" w:hAnsi="宋体" w:eastAsia="宋体" w:cs="宋体"/>
          <w:b w:val="0"/>
          <w:bCs w:val="0"/>
          <w:kern w:val="2"/>
          <w:sz w:val="24"/>
          <w:szCs w:val="24"/>
          <w:lang w:val="en-US" w:eastAsia="zh-CN" w:bidi="ar-SA"/>
        </w:rPr>
        <w:t>现已调查所得的证据、当地行政机关年均办理跨地域性质的环境污染、涉消费者合法权益的案件信息等。</w:t>
      </w:r>
    </w:p>
    <w:p>
      <w:pPr>
        <w:keepNext w:val="0"/>
        <w:keepLines w:val="0"/>
        <w:pageBreakBefore w:val="0"/>
        <w:widowControl/>
        <w:kinsoku/>
        <w:wordWrap/>
        <w:overflowPunct/>
        <w:topLinePunct w:val="0"/>
        <w:autoSpaceDE/>
        <w:autoSpaceDN/>
        <w:bidi w:val="0"/>
        <w:adjustRightInd/>
        <w:snapToGrid/>
        <w:spacing w:line="360" w:lineRule="auto"/>
        <w:ind w:left="0" w:leftChars="0" w:firstLine="480" w:firstLineChars="200"/>
        <w:contextualSpacing/>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借助科技的发展推动协作。“数字革命”必然会驱动粤港澳大湾区民事公益诉讼制度协作提质增效。通过科技的力量主动融入“数字湾区”建设，例如建立数据模型对东江水、深圳河等水质情况就进行实时监测；又如建立比对分析模型，对在三地消费者委员会投诉平台中出现的，具有跨地域性的消费者侵权举报线索进行分析比对碰撞，</w:t>
      </w:r>
      <w:r>
        <w:rPr>
          <w:rFonts w:hint="eastAsia" w:ascii="宋体" w:hAnsi="宋体" w:cs="宋体"/>
          <w:b w:val="0"/>
          <w:bCs w:val="0"/>
          <w:kern w:val="2"/>
          <w:sz w:val="24"/>
          <w:szCs w:val="24"/>
          <w:lang w:val="en-US" w:eastAsia="zh-CN" w:bidi="ar-SA"/>
        </w:rPr>
        <w:t>均</w:t>
      </w:r>
      <w:r>
        <w:rPr>
          <w:rFonts w:hint="eastAsia" w:ascii="宋体" w:hAnsi="宋体" w:eastAsia="宋体" w:cs="宋体"/>
          <w:b w:val="0"/>
          <w:bCs w:val="0"/>
          <w:kern w:val="2"/>
          <w:sz w:val="24"/>
          <w:szCs w:val="24"/>
          <w:lang w:val="en-US" w:eastAsia="zh-CN" w:bidi="ar-SA"/>
        </w:rPr>
        <w:t>更好地发现民事公益诉讼案件的线索。充分发挥科学技术发展对于民事公益诉讼的支持和促进作用，发挥好科学技术在促进粤港澳三地民事公益诉讼协作机制的形成和运作，主动运用大数据思维，更好解决大湾区公益保护及协作中的重点难点问题。</w:t>
      </w:r>
    </w:p>
    <w:p>
      <w:pPr>
        <w:keepNext w:val="0"/>
        <w:keepLines w:val="0"/>
        <w:pageBreakBefore w:val="0"/>
        <w:widowControl/>
        <w:kinsoku/>
        <w:wordWrap/>
        <w:overflowPunct/>
        <w:topLinePunct w:val="0"/>
        <w:autoSpaceDE/>
        <w:autoSpaceDN/>
        <w:bidi w:val="0"/>
        <w:adjustRightInd/>
        <w:snapToGrid/>
        <w:spacing w:line="360" w:lineRule="auto"/>
        <w:ind w:left="0" w:leftChars="0" w:firstLine="480" w:firstLineChars="200"/>
        <w:contextualSpacing/>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优化人才的培养和交流增进协作。为推动粤港澳大湾区司法人才交流与合作，2023年7月21日至25日，2023年粤港澳大湾区法律人才研修班在国家法官学院举办</w:t>
      </w:r>
      <w:r>
        <w:rPr>
          <w:rFonts w:hint="eastAsia" w:ascii="宋体" w:hAnsi="宋体" w:cs="宋体"/>
          <w:b w:val="0"/>
          <w:bCs w:val="0"/>
          <w:kern w:val="2"/>
          <w:sz w:val="24"/>
          <w:szCs w:val="24"/>
          <w:lang w:val="en-US" w:eastAsia="zh-CN" w:bidi="ar-SA"/>
        </w:rPr>
        <w:t>，</w:t>
      </w:r>
      <w:r>
        <w:rPr>
          <w:rFonts w:hint="eastAsia" w:ascii="宋体" w:hAnsi="宋体" w:eastAsia="宋体" w:cs="宋体"/>
          <w:b w:val="0"/>
          <w:bCs w:val="0"/>
          <w:kern w:val="2"/>
          <w:sz w:val="24"/>
          <w:szCs w:val="24"/>
          <w:lang w:val="en-US" w:eastAsia="zh-CN" w:bidi="ar-SA"/>
        </w:rPr>
        <w:t>来自三地的法律界精英同堂培训与交流。</w:t>
      </w:r>
      <w:r>
        <w:rPr>
          <w:rFonts w:hint="default" w:ascii="宋体" w:hAnsi="宋体" w:eastAsia="宋体" w:cs="宋体"/>
          <w:b w:val="0"/>
          <w:bCs w:val="0"/>
          <w:kern w:val="2"/>
          <w:sz w:val="24"/>
          <w:szCs w:val="24"/>
          <w:lang w:val="en-US" w:eastAsia="zh-CN" w:bidi="ar-SA"/>
        </w:rPr>
        <w:t>2023</w:t>
      </w:r>
      <w:r>
        <w:rPr>
          <w:rFonts w:hint="eastAsia" w:ascii="宋体" w:hAnsi="宋体" w:eastAsia="宋体" w:cs="宋体"/>
          <w:b w:val="0"/>
          <w:bCs w:val="0"/>
          <w:kern w:val="2"/>
          <w:sz w:val="24"/>
          <w:szCs w:val="24"/>
          <w:lang w:val="en-US" w:eastAsia="zh-CN" w:bidi="ar-SA"/>
        </w:rPr>
        <w:t>年</w:t>
      </w:r>
      <w:r>
        <w:rPr>
          <w:rFonts w:hint="default" w:ascii="宋体" w:hAnsi="宋体" w:eastAsia="宋体" w:cs="宋体"/>
          <w:b w:val="0"/>
          <w:bCs w:val="0"/>
          <w:kern w:val="2"/>
          <w:sz w:val="24"/>
          <w:szCs w:val="24"/>
          <w:lang w:val="en-US" w:eastAsia="zh-CN" w:bidi="ar-SA"/>
        </w:rPr>
        <w:t>7</w:t>
      </w:r>
      <w:r>
        <w:rPr>
          <w:rFonts w:hint="eastAsia" w:ascii="宋体" w:hAnsi="宋体" w:eastAsia="宋体" w:cs="宋体"/>
          <w:b w:val="0"/>
          <w:bCs w:val="0"/>
          <w:kern w:val="2"/>
          <w:sz w:val="24"/>
          <w:szCs w:val="24"/>
          <w:lang w:val="en-US" w:eastAsia="zh-CN" w:bidi="ar-SA"/>
        </w:rPr>
        <w:t>月</w:t>
      </w:r>
      <w:r>
        <w:rPr>
          <w:rFonts w:hint="default" w:ascii="宋体" w:hAnsi="宋体" w:eastAsia="宋体" w:cs="宋体"/>
          <w:b w:val="0"/>
          <w:bCs w:val="0"/>
          <w:kern w:val="2"/>
          <w:sz w:val="24"/>
          <w:szCs w:val="24"/>
          <w:lang w:val="en-US" w:eastAsia="zh-CN" w:bidi="ar-SA"/>
        </w:rPr>
        <w:t>24</w:t>
      </w:r>
      <w:r>
        <w:rPr>
          <w:rFonts w:hint="eastAsia" w:ascii="宋体" w:hAnsi="宋体" w:eastAsia="宋体" w:cs="宋体"/>
          <w:b w:val="0"/>
          <w:bCs w:val="0"/>
          <w:kern w:val="2"/>
          <w:sz w:val="24"/>
          <w:szCs w:val="24"/>
          <w:lang w:val="en-US" w:eastAsia="zh-CN" w:bidi="ar-SA"/>
        </w:rPr>
        <w:t>日，广东省检察机关亦出台了《广东省检察机关打造粤港澳大湾区检察人才高地专项计划》，旨在培养涉外法治人才高地，更好地服务保障大湾区建设。在三地民事公益诉讼协作的沟通中，要切实发挥人才的作用，通过相互学习，有效沟通，以推进</w:t>
      </w:r>
      <w:r>
        <w:rPr>
          <w:rFonts w:hint="eastAsia" w:ascii="宋体" w:hAnsi="宋体" w:cs="宋体"/>
          <w:b w:val="0"/>
          <w:bCs w:val="0"/>
          <w:kern w:val="2"/>
          <w:sz w:val="24"/>
          <w:szCs w:val="24"/>
          <w:lang w:val="en-US" w:eastAsia="zh-CN" w:bidi="ar-SA"/>
        </w:rPr>
        <w:t>粤港澳</w:t>
      </w:r>
      <w:r>
        <w:rPr>
          <w:rFonts w:hint="eastAsia" w:ascii="宋体" w:hAnsi="宋体" w:eastAsia="宋体" w:cs="宋体"/>
          <w:b w:val="0"/>
          <w:bCs w:val="0"/>
          <w:kern w:val="2"/>
          <w:sz w:val="24"/>
          <w:szCs w:val="24"/>
          <w:lang w:val="en-US" w:eastAsia="zh-CN" w:bidi="ar-SA"/>
        </w:rPr>
        <w:t>大湾区民事公益诉讼协作机制常态化、高效化和制度化运行。</w:t>
      </w:r>
    </w:p>
    <w:p>
      <w:pPr>
        <w:keepNext w:val="0"/>
        <w:keepLines w:val="0"/>
        <w:pageBreakBefore w:val="0"/>
        <w:widowControl/>
        <w:kinsoku/>
        <w:wordWrap/>
        <w:overflowPunct/>
        <w:topLinePunct w:val="0"/>
        <w:autoSpaceDE/>
        <w:autoSpaceDN/>
        <w:bidi w:val="0"/>
        <w:adjustRightInd/>
        <w:snapToGrid/>
        <w:spacing w:line="360" w:lineRule="auto"/>
        <w:ind w:firstLine="480" w:firstLineChars="200"/>
        <w:rPr>
          <w:rFonts w:hint="eastAsia" w:ascii="黑体" w:hAnsi="黑体" w:eastAsia="黑体" w:cs="黑体"/>
          <w:sz w:val="24"/>
          <w:szCs w:val="24"/>
        </w:rPr>
      </w:pPr>
      <w:r>
        <w:rPr>
          <w:rFonts w:hint="eastAsia" w:ascii="黑体" w:hAnsi="黑体" w:eastAsia="黑体" w:cs="黑体"/>
          <w:sz w:val="24"/>
          <w:szCs w:val="24"/>
        </w:rPr>
        <w:t>3.善于存异</w:t>
      </w:r>
    </w:p>
    <w:p>
      <w:pPr>
        <w:keepNext w:val="0"/>
        <w:keepLines w:val="0"/>
        <w:pageBreakBefore w:val="0"/>
        <w:widowControl/>
        <w:kinsoku/>
        <w:wordWrap/>
        <w:overflowPunct/>
        <w:topLinePunct w:val="0"/>
        <w:autoSpaceDE/>
        <w:autoSpaceDN/>
        <w:bidi w:val="0"/>
        <w:adjustRightInd/>
        <w:snapToGrid/>
        <w:spacing w:line="360" w:lineRule="auto"/>
        <w:ind w:left="0" w:leftChars="0" w:firstLine="480" w:firstLineChars="200"/>
        <w:contextualSpacing/>
        <w:rPr>
          <w:rFonts w:hint="default" w:ascii="宋体" w:hAnsi="宋体" w:cs="宋体"/>
          <w:color w:val="000000"/>
          <w:sz w:val="28"/>
          <w:szCs w:val="28"/>
          <w:lang w:val="en-US"/>
        </w:rPr>
      </w:pPr>
      <w:r>
        <w:rPr>
          <w:rFonts w:hint="eastAsia" w:ascii="宋体" w:hAnsi="宋体" w:eastAsia="宋体" w:cs="宋体"/>
          <w:b w:val="0"/>
          <w:bCs w:val="0"/>
          <w:kern w:val="2"/>
          <w:sz w:val="24"/>
          <w:szCs w:val="24"/>
          <w:lang w:val="en-US" w:eastAsia="zh-CN" w:bidi="ar-SA"/>
        </w:rPr>
        <w:t>在不断加强和优化粤港澳三地民事公益诉讼协作的同时，要充分尊重和客观看待粤港澳三地法律制度和司法体系的差异，确保在各地开展的民事公益诉讼，均符合各地现行有效的法律规范</w:t>
      </w:r>
      <w:r>
        <w:rPr>
          <w:rFonts w:hint="eastAsia" w:ascii="宋体" w:hAnsi="宋体" w:cs="宋体"/>
          <w:b w:val="0"/>
          <w:bCs w:val="0"/>
          <w:kern w:val="2"/>
          <w:sz w:val="24"/>
          <w:szCs w:val="24"/>
          <w:lang w:val="en-US" w:eastAsia="zh-CN" w:bidi="ar-SA"/>
        </w:rPr>
        <w:t>，</w:t>
      </w:r>
      <w:r>
        <w:rPr>
          <w:rFonts w:hint="eastAsia" w:ascii="宋体" w:hAnsi="宋体" w:eastAsia="宋体" w:cs="宋体"/>
          <w:b w:val="0"/>
          <w:bCs w:val="0"/>
          <w:kern w:val="2"/>
          <w:sz w:val="24"/>
          <w:szCs w:val="24"/>
          <w:lang w:val="en-US" w:eastAsia="zh-CN" w:bidi="ar-SA"/>
        </w:rPr>
        <w:t>确保粤港澳三地民事公益诉讼协作在合法的范围内有效推进。</w:t>
      </w:r>
    </w:p>
    <w:p>
      <w:pPr>
        <w:pStyle w:val="7"/>
        <w:keepNext w:val="0"/>
        <w:keepLines w:val="0"/>
        <w:pageBreakBefore w:val="0"/>
        <w:widowControl/>
        <w:shd w:val="clear" w:color="auto" w:fill="FFFFFF"/>
        <w:kinsoku/>
        <w:wordWrap/>
        <w:overflowPunct/>
        <w:topLinePunct w:val="0"/>
        <w:autoSpaceDE/>
        <w:autoSpaceDN/>
        <w:bidi w:val="0"/>
        <w:adjustRightInd/>
        <w:snapToGrid/>
        <w:spacing w:before="0" w:beforeAutospacing="0" w:after="0" w:afterAutospacing="0" w:line="360" w:lineRule="auto"/>
        <w:ind w:left="0" w:leftChars="0" w:firstLine="480" w:firstLineChars="200"/>
        <w:contextualSpacing/>
        <w:textAlignment w:val="baseline"/>
        <w:rPr>
          <w:rFonts w:hint="eastAsia" w:ascii="宋体" w:hAnsi="宋体" w:eastAsia="宋体" w:cs="宋体"/>
          <w:b w:val="0"/>
          <w:bCs w:val="0"/>
          <w:kern w:val="2"/>
          <w:sz w:val="24"/>
          <w:szCs w:val="24"/>
          <w:lang w:val="en-US" w:eastAsia="zh-CN" w:bidi="ar-SA"/>
        </w:rPr>
      </w:pPr>
      <w:r>
        <w:rPr>
          <w:rFonts w:hint="eastAsia" w:ascii="宋体" w:hAnsi="宋体" w:cs="宋体"/>
          <w:b w:val="0"/>
          <w:bCs w:val="0"/>
          <w:kern w:val="2"/>
          <w:sz w:val="24"/>
          <w:szCs w:val="24"/>
          <w:lang w:val="en-US" w:eastAsia="zh-CN" w:bidi="ar-SA"/>
        </w:rPr>
        <w:t>正确看待三地</w:t>
      </w:r>
      <w:r>
        <w:rPr>
          <w:rFonts w:hint="eastAsia" w:ascii="宋体" w:hAnsi="宋体" w:eastAsia="宋体" w:cs="宋体"/>
          <w:b w:val="0"/>
          <w:bCs w:val="0"/>
          <w:kern w:val="2"/>
          <w:sz w:val="24"/>
          <w:szCs w:val="24"/>
          <w:lang w:val="en-US" w:eastAsia="zh-CN" w:bidi="ar-SA"/>
        </w:rPr>
        <w:t>证据标准</w:t>
      </w:r>
      <w:r>
        <w:rPr>
          <w:rFonts w:hint="eastAsia" w:ascii="宋体" w:hAnsi="宋体" w:cs="宋体"/>
          <w:b w:val="0"/>
          <w:bCs w:val="0"/>
          <w:kern w:val="2"/>
          <w:sz w:val="24"/>
          <w:szCs w:val="24"/>
          <w:lang w:val="en-US" w:eastAsia="zh-CN" w:bidi="ar-SA"/>
        </w:rPr>
        <w:t>的差异</w:t>
      </w:r>
      <w:r>
        <w:rPr>
          <w:rFonts w:hint="eastAsia" w:ascii="宋体" w:hAnsi="宋体" w:eastAsia="宋体" w:cs="宋体"/>
          <w:b w:val="0"/>
          <w:bCs w:val="0"/>
          <w:kern w:val="2"/>
          <w:sz w:val="24"/>
          <w:szCs w:val="24"/>
          <w:lang w:val="en-US" w:eastAsia="zh-CN" w:bidi="ar-SA"/>
        </w:rPr>
        <w:t>，</w:t>
      </w:r>
      <w:r>
        <w:rPr>
          <w:rFonts w:hint="eastAsia" w:ascii="宋体" w:hAnsi="宋体" w:cs="宋体"/>
          <w:b w:val="0"/>
          <w:bCs w:val="0"/>
          <w:kern w:val="2"/>
          <w:sz w:val="24"/>
          <w:szCs w:val="24"/>
          <w:lang w:val="en-US" w:eastAsia="zh-CN" w:bidi="ar-SA"/>
        </w:rPr>
        <w:t>加强</w:t>
      </w:r>
      <w:r>
        <w:rPr>
          <w:rFonts w:hint="eastAsia" w:ascii="宋体" w:hAnsi="宋体" w:eastAsia="宋体" w:cs="宋体"/>
          <w:b w:val="0"/>
          <w:bCs w:val="0"/>
          <w:kern w:val="2"/>
          <w:sz w:val="24"/>
          <w:szCs w:val="24"/>
          <w:lang w:val="en-US" w:eastAsia="zh-CN" w:bidi="ar-SA"/>
        </w:rPr>
        <w:t>政府间的</w:t>
      </w:r>
      <w:r>
        <w:rPr>
          <w:rFonts w:hint="eastAsia" w:ascii="宋体" w:hAnsi="宋体" w:cs="宋体"/>
          <w:b w:val="0"/>
          <w:bCs w:val="0"/>
          <w:kern w:val="2"/>
          <w:sz w:val="24"/>
          <w:szCs w:val="24"/>
          <w:lang w:val="en-US" w:eastAsia="zh-CN" w:bidi="ar-SA"/>
        </w:rPr>
        <w:t>协作。</w:t>
      </w:r>
      <w:r>
        <w:rPr>
          <w:rFonts w:hint="eastAsia" w:ascii="宋体" w:hAnsi="宋体" w:eastAsia="宋体" w:cs="宋体"/>
          <w:b w:val="0"/>
          <w:bCs w:val="0"/>
          <w:kern w:val="2"/>
          <w:sz w:val="24"/>
          <w:szCs w:val="24"/>
          <w:lang w:val="en-US" w:eastAsia="zh-CN" w:bidi="ar-SA"/>
        </w:rPr>
        <w:t>例如</w:t>
      </w:r>
      <w:r>
        <w:rPr>
          <w:rFonts w:hint="eastAsia" w:ascii="宋体" w:hAnsi="宋体" w:cs="宋体"/>
          <w:b w:val="0"/>
          <w:bCs w:val="0"/>
          <w:kern w:val="2"/>
          <w:sz w:val="24"/>
          <w:szCs w:val="24"/>
          <w:lang w:val="en-US" w:eastAsia="zh-CN" w:bidi="ar-SA"/>
        </w:rPr>
        <w:t>粤港澳</w:t>
      </w:r>
      <w:r>
        <w:rPr>
          <w:rFonts w:hint="eastAsia" w:ascii="宋体" w:hAnsi="宋体" w:eastAsia="宋体" w:cs="宋体"/>
          <w:b w:val="0"/>
          <w:bCs w:val="0"/>
          <w:kern w:val="2"/>
          <w:sz w:val="24"/>
          <w:szCs w:val="24"/>
          <w:lang w:val="en-US" w:eastAsia="zh-CN" w:bidi="ar-SA"/>
        </w:rPr>
        <w:t>大湾区环境污染公益诉讼案件可能涉及三地的生态环境、农业农村、海事等多个部门。由于三地的环境标准不一致导致证据的认定存在差异。面对不同的标准，笔者认为可以依托政府间的协议作为推动进程。另外，因为一般情形下，粤港澳大湾区的民事诉讼案件比普通单个污染环境的案件造成的环境损害以及社会影响更大，</w:t>
      </w:r>
      <w:r>
        <w:rPr>
          <w:rFonts w:hint="eastAsia" w:ascii="宋体" w:hAnsi="宋体" w:cs="宋体"/>
          <w:b w:val="0"/>
          <w:bCs w:val="0"/>
          <w:kern w:val="2"/>
          <w:sz w:val="24"/>
          <w:szCs w:val="24"/>
          <w:lang w:val="en-US" w:eastAsia="zh-CN" w:bidi="ar-SA"/>
        </w:rPr>
        <w:t>故</w:t>
      </w:r>
      <w:r>
        <w:rPr>
          <w:rFonts w:hint="eastAsia" w:ascii="宋体" w:hAnsi="宋体" w:eastAsia="宋体" w:cs="宋体"/>
          <w:b w:val="0"/>
          <w:bCs w:val="0"/>
          <w:kern w:val="2"/>
          <w:sz w:val="24"/>
          <w:szCs w:val="24"/>
          <w:lang w:val="en-US" w:eastAsia="zh-CN" w:bidi="ar-SA"/>
        </w:rPr>
        <w:t>是否需要对标国际标准，制定更为严格的环境标准也是协商中应该解决的问题。</w:t>
      </w:r>
    </w:p>
    <w:p>
      <w:pPr>
        <w:keepNext w:val="0"/>
        <w:keepLines w:val="0"/>
        <w:pageBreakBefore w:val="0"/>
        <w:widowControl/>
        <w:kinsoku/>
        <w:wordWrap/>
        <w:overflowPunct/>
        <w:topLinePunct w:val="0"/>
        <w:autoSpaceDE/>
        <w:autoSpaceDN/>
        <w:bidi w:val="0"/>
        <w:adjustRightInd/>
        <w:snapToGrid/>
        <w:spacing w:line="360" w:lineRule="auto"/>
        <w:ind w:left="0" w:leftChars="0" w:firstLine="480" w:firstLineChars="200"/>
        <w:contextualSpacing/>
        <w:rPr>
          <w:rFonts w:hint="eastAsia" w:ascii="宋体" w:hAnsi="宋体" w:eastAsia="宋体" w:cs="宋体"/>
          <w:b w:val="0"/>
          <w:bCs w:val="0"/>
          <w:kern w:val="2"/>
          <w:sz w:val="24"/>
          <w:szCs w:val="24"/>
          <w:lang w:val="en-US" w:eastAsia="zh-CN" w:bidi="ar-SA"/>
        </w:rPr>
      </w:pPr>
      <w:r>
        <w:rPr>
          <w:rFonts w:hint="eastAsia" w:ascii="宋体" w:hAnsi="宋体" w:cs="宋体"/>
          <w:b w:val="0"/>
          <w:bCs w:val="0"/>
          <w:kern w:val="2"/>
          <w:sz w:val="24"/>
          <w:szCs w:val="24"/>
          <w:lang w:val="en-US" w:eastAsia="zh-CN" w:bidi="ar-SA"/>
        </w:rPr>
        <w:t>正确看到三地</w:t>
      </w:r>
      <w:r>
        <w:rPr>
          <w:rFonts w:hint="eastAsia" w:ascii="宋体" w:hAnsi="宋体" w:eastAsia="宋体" w:cs="宋体"/>
          <w:b w:val="0"/>
          <w:bCs w:val="0"/>
          <w:kern w:val="2"/>
          <w:sz w:val="24"/>
          <w:szCs w:val="24"/>
          <w:lang w:val="en-US" w:eastAsia="zh-CN" w:bidi="ar-SA"/>
        </w:rPr>
        <w:t>诉讼程序及判决结果方面的</w:t>
      </w:r>
      <w:r>
        <w:rPr>
          <w:rFonts w:hint="eastAsia" w:ascii="宋体" w:hAnsi="宋体" w:cs="宋体"/>
          <w:b w:val="0"/>
          <w:bCs w:val="0"/>
          <w:kern w:val="2"/>
          <w:sz w:val="24"/>
          <w:szCs w:val="24"/>
          <w:lang w:val="en-US" w:eastAsia="zh-CN" w:bidi="ar-SA"/>
        </w:rPr>
        <w:t>差异</w:t>
      </w:r>
      <w:r>
        <w:rPr>
          <w:rFonts w:hint="eastAsia" w:ascii="宋体" w:hAnsi="宋体" w:eastAsia="宋体" w:cs="宋体"/>
          <w:b w:val="0"/>
          <w:bCs w:val="0"/>
          <w:kern w:val="2"/>
          <w:sz w:val="24"/>
          <w:szCs w:val="24"/>
          <w:lang w:val="en-US" w:eastAsia="zh-CN" w:bidi="ar-SA"/>
        </w:rPr>
        <w:t>，</w:t>
      </w:r>
      <w:r>
        <w:rPr>
          <w:rFonts w:hint="eastAsia" w:ascii="宋体" w:hAnsi="宋体" w:cs="宋体"/>
          <w:b w:val="0"/>
          <w:bCs w:val="0"/>
          <w:kern w:val="2"/>
          <w:sz w:val="24"/>
          <w:szCs w:val="24"/>
          <w:lang w:val="en-US" w:eastAsia="zh-CN" w:bidi="ar-SA"/>
        </w:rPr>
        <w:t>加强</w:t>
      </w:r>
      <w:r>
        <w:rPr>
          <w:rFonts w:hint="eastAsia" w:ascii="宋体" w:hAnsi="宋体" w:eastAsia="宋体" w:cs="宋体"/>
          <w:b w:val="0"/>
          <w:bCs w:val="0"/>
          <w:kern w:val="2"/>
          <w:sz w:val="24"/>
          <w:szCs w:val="24"/>
          <w:lang w:val="en-US" w:eastAsia="zh-CN" w:bidi="ar-SA"/>
        </w:rPr>
        <w:t>法院间的沟通</w:t>
      </w:r>
      <w:r>
        <w:rPr>
          <w:rFonts w:hint="eastAsia" w:ascii="宋体" w:hAnsi="宋体" w:cs="宋体"/>
          <w:b w:val="0"/>
          <w:bCs w:val="0"/>
          <w:kern w:val="2"/>
          <w:sz w:val="24"/>
          <w:szCs w:val="24"/>
          <w:lang w:val="en-US" w:eastAsia="zh-CN" w:bidi="ar-SA"/>
        </w:rPr>
        <w:t>。</w:t>
      </w:r>
      <w:r>
        <w:rPr>
          <w:rFonts w:hint="eastAsia" w:ascii="宋体" w:hAnsi="宋体" w:eastAsia="宋体" w:cs="宋体"/>
          <w:b w:val="0"/>
          <w:bCs w:val="0"/>
          <w:kern w:val="2"/>
          <w:sz w:val="24"/>
          <w:szCs w:val="24"/>
          <w:lang w:val="en-US" w:eastAsia="zh-CN" w:bidi="ar-SA"/>
        </w:rPr>
        <w:t>民事公益诉讼作为民事诉讼的一种类型，最终需要经过法院的审理，因此协作机制的订立离不开三地法院的司法协作机制，也离不开检察机关与法院的协作。以协作的方式促进三地检法各方在证据采信、法律适用、证据保全、公益诉讼规则等方面形成共识。明确线索受理、立案程序、裁判执行等具体问题，能提升粤港澳大湾区民事公益诉讼案件审判质效。如内地的南沙区法检两家还通过签订协作机制的方式进一步探索“替代性刑罚处罚机制”，双方在“重修复”的环境公益诉讼理念共识的指引下，以实践的探索为南沙提供了司法服务和保障。此外，在协作过程中，无论是三地的检察机关还是三地的法院要增强司法互信</w:t>
      </w:r>
      <w:r>
        <w:rPr>
          <w:rFonts w:hint="eastAsia" w:ascii="宋体" w:hAnsi="宋体" w:eastAsia="宋体" w:cs="宋体"/>
          <w:b w:val="0"/>
          <w:bCs w:val="0"/>
          <w:kern w:val="2"/>
          <w:sz w:val="24"/>
          <w:szCs w:val="24"/>
          <w:vertAlign w:val="superscript"/>
          <w:lang w:val="en-US" w:eastAsia="zh-CN" w:bidi="ar-SA"/>
        </w:rPr>
        <w:footnoteReference w:id="30"/>
      </w:r>
      <w:r>
        <w:rPr>
          <w:rFonts w:hint="eastAsia" w:ascii="宋体" w:hAnsi="宋体" w:eastAsia="宋体" w:cs="宋体"/>
          <w:b w:val="0"/>
          <w:bCs w:val="0"/>
          <w:kern w:val="2"/>
          <w:sz w:val="24"/>
          <w:szCs w:val="24"/>
          <w:lang w:val="en-US" w:eastAsia="zh-CN" w:bidi="ar-SA"/>
        </w:rPr>
        <w:t>，以送达、取证、判决认可与执行为民事公益诉讼协作机制订立的基础，推进民事公益诉讼协助模式的多样化。值得注意的是，在民事公益诉讼领域，因涉及到三地公共利益，在经过协商后，一般不会出现平行诉讼</w:t>
      </w:r>
      <w:r>
        <w:rPr>
          <w:rFonts w:hint="eastAsia" w:ascii="宋体" w:hAnsi="宋体" w:eastAsia="宋体" w:cs="宋体"/>
          <w:b w:val="0"/>
          <w:bCs w:val="0"/>
          <w:kern w:val="2"/>
          <w:sz w:val="24"/>
          <w:szCs w:val="24"/>
          <w:vertAlign w:val="superscript"/>
          <w:lang w:val="en-US" w:eastAsia="zh-CN" w:bidi="ar-SA"/>
        </w:rPr>
        <w:footnoteReference w:id="31"/>
      </w:r>
      <w:r>
        <w:rPr>
          <w:rFonts w:hint="eastAsia" w:ascii="宋体" w:hAnsi="宋体" w:eastAsia="宋体" w:cs="宋体"/>
          <w:b w:val="0"/>
          <w:bCs w:val="0"/>
          <w:kern w:val="2"/>
          <w:sz w:val="24"/>
          <w:szCs w:val="24"/>
          <w:lang w:val="en-US" w:eastAsia="zh-CN" w:bidi="ar-SA"/>
        </w:rPr>
        <w:t>。</w:t>
      </w:r>
    </w:p>
    <w:p>
      <w:pPr>
        <w:keepNext w:val="0"/>
        <w:keepLines w:val="0"/>
        <w:pageBreakBefore w:val="0"/>
        <w:widowControl/>
        <w:kinsoku/>
        <w:wordWrap/>
        <w:overflowPunct/>
        <w:topLinePunct w:val="0"/>
        <w:autoSpaceDE/>
        <w:autoSpaceDN/>
        <w:bidi w:val="0"/>
        <w:adjustRightInd/>
        <w:snapToGrid/>
        <w:spacing w:line="360" w:lineRule="auto"/>
        <w:ind w:left="0" w:leftChars="0" w:firstLine="480" w:firstLineChars="200"/>
        <w:contextualSpacing/>
        <w:rPr>
          <w:rFonts w:hint="eastAsia" w:ascii="宋体" w:hAnsi="宋体" w:eastAsia="宋体" w:cs="宋体"/>
          <w:b w:val="0"/>
          <w:bCs w:val="0"/>
          <w:kern w:val="2"/>
          <w:sz w:val="24"/>
          <w:szCs w:val="24"/>
          <w:lang w:val="en-US" w:eastAsia="zh-CN" w:bidi="ar-SA"/>
        </w:rPr>
      </w:pPr>
      <w:r>
        <w:rPr>
          <w:rFonts w:hint="eastAsia" w:ascii="宋体" w:hAnsi="宋体" w:cs="宋体"/>
          <w:b w:val="0"/>
          <w:bCs w:val="0"/>
          <w:kern w:val="2"/>
          <w:sz w:val="24"/>
          <w:szCs w:val="24"/>
          <w:lang w:val="en-US" w:eastAsia="zh-CN" w:bidi="ar-SA"/>
        </w:rPr>
        <w:t>正确看待三地</w:t>
      </w:r>
      <w:r>
        <w:rPr>
          <w:rFonts w:hint="eastAsia" w:ascii="宋体" w:hAnsi="宋体" w:eastAsia="宋体" w:cs="宋体"/>
          <w:b w:val="0"/>
          <w:bCs w:val="0"/>
          <w:kern w:val="2"/>
          <w:sz w:val="24"/>
          <w:szCs w:val="24"/>
          <w:lang w:val="en-US" w:eastAsia="zh-CN" w:bidi="ar-SA"/>
        </w:rPr>
        <w:t>案件办理方面</w:t>
      </w:r>
      <w:r>
        <w:rPr>
          <w:rFonts w:hint="eastAsia" w:ascii="宋体" w:hAnsi="宋体" w:cs="宋体"/>
          <w:b w:val="0"/>
          <w:bCs w:val="0"/>
          <w:kern w:val="2"/>
          <w:sz w:val="24"/>
          <w:szCs w:val="24"/>
          <w:lang w:val="en-US" w:eastAsia="zh-CN" w:bidi="ar-SA"/>
        </w:rPr>
        <w:t>差异</w:t>
      </w:r>
      <w:r>
        <w:rPr>
          <w:rFonts w:hint="eastAsia" w:ascii="宋体" w:hAnsi="宋体" w:eastAsia="宋体" w:cs="宋体"/>
          <w:b w:val="0"/>
          <w:bCs w:val="0"/>
          <w:kern w:val="2"/>
          <w:sz w:val="24"/>
          <w:szCs w:val="24"/>
          <w:lang w:val="en-US" w:eastAsia="zh-CN" w:bidi="ar-SA"/>
        </w:rPr>
        <w:t>，</w:t>
      </w:r>
      <w:r>
        <w:rPr>
          <w:rFonts w:hint="eastAsia" w:ascii="宋体" w:hAnsi="宋体" w:cs="宋体"/>
          <w:b w:val="0"/>
          <w:bCs w:val="0"/>
          <w:kern w:val="2"/>
          <w:sz w:val="24"/>
          <w:szCs w:val="24"/>
          <w:lang w:val="en-US" w:eastAsia="zh-CN" w:bidi="ar-SA"/>
        </w:rPr>
        <w:t>加强</w:t>
      </w:r>
      <w:r>
        <w:rPr>
          <w:rFonts w:hint="eastAsia" w:ascii="宋体" w:hAnsi="宋体" w:eastAsia="宋体" w:cs="宋体"/>
          <w:b w:val="0"/>
          <w:bCs w:val="0"/>
          <w:kern w:val="2"/>
          <w:sz w:val="24"/>
          <w:szCs w:val="24"/>
          <w:lang w:val="en-US" w:eastAsia="zh-CN" w:bidi="ar-SA"/>
        </w:rPr>
        <w:t>相互支持配合</w:t>
      </w:r>
      <w:r>
        <w:rPr>
          <w:rFonts w:hint="eastAsia" w:ascii="宋体" w:hAnsi="宋体" w:cs="宋体"/>
          <w:b w:val="0"/>
          <w:bCs w:val="0"/>
          <w:kern w:val="2"/>
          <w:sz w:val="24"/>
          <w:szCs w:val="24"/>
          <w:lang w:val="en-US" w:eastAsia="zh-CN" w:bidi="ar-SA"/>
        </w:rPr>
        <w:t>力度</w:t>
      </w:r>
      <w:r>
        <w:rPr>
          <w:rFonts w:hint="eastAsia" w:ascii="宋体" w:hAnsi="宋体" w:eastAsia="宋体" w:cs="宋体"/>
          <w:b w:val="0"/>
          <w:bCs w:val="0"/>
          <w:kern w:val="2"/>
          <w:sz w:val="24"/>
          <w:szCs w:val="24"/>
          <w:lang w:val="en-US" w:eastAsia="zh-CN" w:bidi="ar-SA"/>
        </w:rPr>
        <w:t>。尽最大力量争取香港、澳门相关部门支持、参与大湾区内地公益诉讼工作。内地应充分发挥地域广、自然资源丰富等有利条件，为港澳地区公共利益保护工作提供支持，尤其在科学研究、环境治理、生态修复等方面加强合作，实现共赢。</w:t>
      </w:r>
      <w:r>
        <w:rPr>
          <w:rFonts w:hint="eastAsia" w:ascii="宋体" w:hAnsi="宋体" w:cs="宋体"/>
          <w:b w:val="0"/>
          <w:bCs w:val="0"/>
          <w:kern w:val="2"/>
          <w:sz w:val="24"/>
          <w:szCs w:val="24"/>
          <w:lang w:val="en-US" w:eastAsia="zh-CN" w:bidi="ar-SA"/>
        </w:rPr>
        <w:t>粤港澳</w:t>
      </w:r>
      <w:r>
        <w:rPr>
          <w:rFonts w:hint="eastAsia" w:ascii="宋体" w:hAnsi="宋体" w:eastAsia="宋体" w:cs="宋体"/>
          <w:b w:val="0"/>
          <w:bCs w:val="0"/>
          <w:kern w:val="2"/>
          <w:sz w:val="24"/>
          <w:szCs w:val="24"/>
          <w:lang w:val="en-US" w:eastAsia="zh-CN" w:bidi="ar-SA"/>
        </w:rPr>
        <w:t>大湾区内地检察机关在开展民事公益诉讼中，也可以考虑引入港澳地区的先进技术和经验，在检验鉴定、生物物种保护、生态修复、系统治理等方面，探索争取港澳相关部门的支持，逐步形成协作机制。</w:t>
      </w:r>
    </w:p>
    <w:p>
      <w:pPr>
        <w:keepNext w:val="0"/>
        <w:keepLines w:val="0"/>
        <w:pageBreakBefore w:val="0"/>
        <w:widowControl/>
        <w:kinsoku/>
        <w:wordWrap/>
        <w:overflowPunct/>
        <w:topLinePunct w:val="0"/>
        <w:autoSpaceDE/>
        <w:autoSpaceDN/>
        <w:bidi w:val="0"/>
        <w:adjustRightInd/>
        <w:snapToGrid/>
        <w:spacing w:line="360" w:lineRule="auto"/>
        <w:ind w:left="0" w:leftChars="0" w:firstLine="480" w:firstLineChars="200"/>
        <w:contextualSpacing/>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综上，粤港澳三地应积极构建以“能动履职”、“有限监督”、“循序渐进”、“共赢监督”等为原则，以维护粤港澳大湾区公共利益</w:t>
      </w:r>
      <w:r>
        <w:rPr>
          <w:rFonts w:hint="eastAsia" w:ascii="宋体" w:hAnsi="宋体" w:cs="宋体"/>
          <w:b w:val="0"/>
          <w:bCs w:val="0"/>
          <w:kern w:val="2"/>
          <w:sz w:val="24"/>
          <w:szCs w:val="24"/>
          <w:lang w:val="en-US" w:eastAsia="zh-CN" w:bidi="ar-SA"/>
        </w:rPr>
        <w:t>为</w:t>
      </w:r>
      <w:r>
        <w:rPr>
          <w:rFonts w:hint="eastAsia" w:ascii="宋体" w:hAnsi="宋体" w:eastAsia="宋体" w:cs="宋体"/>
          <w:b w:val="0"/>
          <w:bCs w:val="0"/>
          <w:kern w:val="2"/>
          <w:sz w:val="24"/>
          <w:szCs w:val="24"/>
          <w:lang w:val="en-US" w:eastAsia="zh-CN" w:bidi="ar-SA"/>
        </w:rPr>
        <w:t>目标的</w:t>
      </w:r>
      <w:r>
        <w:rPr>
          <w:rFonts w:hint="eastAsia" w:ascii="宋体" w:hAnsi="宋体" w:cs="宋体"/>
          <w:b w:val="0"/>
          <w:bCs w:val="0"/>
          <w:kern w:val="2"/>
          <w:sz w:val="24"/>
          <w:szCs w:val="24"/>
          <w:lang w:val="en-US" w:eastAsia="zh-CN" w:bidi="ar-SA"/>
        </w:rPr>
        <w:t>民事公益诉讼协作机制</w:t>
      </w:r>
      <w:r>
        <w:rPr>
          <w:rFonts w:hint="eastAsia" w:ascii="宋体" w:hAnsi="宋体" w:eastAsia="宋体" w:cs="宋体"/>
          <w:b w:val="0"/>
          <w:bCs w:val="0"/>
          <w:kern w:val="2"/>
          <w:sz w:val="24"/>
          <w:szCs w:val="24"/>
          <w:lang w:val="en-US" w:eastAsia="zh-CN" w:bidi="ar-SA"/>
        </w:rPr>
        <w:t>，进一步凝聚共识，形成合力，为“美丽湾区”、“美味湾区”、“幸福湾区”贡献法治力量。</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楷体">
    <w:panose1 w:val="02010609060101010101"/>
    <w:charset w:val="86"/>
    <w:family w:val="modern"/>
    <w:pitch w:val="default"/>
    <w:sig w:usb0="800002BF" w:usb1="38CF7CFA" w:usb2="00000016" w:usb3="00000000" w:csb0="00040001" w:csb1="00000000"/>
  </w:font>
  <w:font w:name="Angsana New (标题 CS)">
    <w:altName w:val="宋体"/>
    <w:panose1 w:val="00000000000000000000"/>
    <w:charset w:val="86"/>
    <w:family w:val="roman"/>
    <w:pitch w:val="default"/>
    <w:sig w:usb0="00000000" w:usb1="00000000" w:usb2="00000000"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方正小标宋简体">
    <w:panose1 w:val="03000509000000000000"/>
    <w:charset w:val="86"/>
    <w:family w:val="script"/>
    <w:pitch w:val="default"/>
    <w:sig w:usb0="00000001" w:usb1="080E0000" w:usb2="00000000" w:usb3="00000000" w:csb0="00040000" w:csb1="00000000"/>
  </w:font>
  <w:font w:name="Cordia New (正文 CS 字体)">
    <w:altName w:val="宋体"/>
    <w:panose1 w:val="020B0604020202020204"/>
    <w:charset w:val="86"/>
    <w:family w:val="roman"/>
    <w:pitch w:val="default"/>
    <w:sig w:usb0="00000000" w:usb1="00000000" w:usb2="00000000" w:usb3="00000000" w:csb0="00040001" w:csb1="00000000"/>
  </w:font>
  <w:font w:name="微软雅黑">
    <w:panose1 w:val="020B0503020204020204"/>
    <w:charset w:val="86"/>
    <w:family w:val="swiss"/>
    <w:pitch w:val="default"/>
    <w:sig w:usb0="80000287" w:usb1="280F3C52" w:usb2="00000016" w:usb3="00000000" w:csb0="0004001F" w:csb1="00000000"/>
  </w:font>
  <w:font w:name="仿宋">
    <w:panose1 w:val="02010609060101010101"/>
    <w:charset w:val="86"/>
    <w:family w:val="auto"/>
    <w:pitch w:val="default"/>
    <w:sig w:usb0="800002BF" w:usb1="38CF7CFA" w:usb2="00000016" w:usb3="00000000" w:csb0="0004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64">
    <w:p>
      <w:r>
        <w:separator/>
      </w:r>
    </w:p>
  </w:footnote>
  <w:footnote w:type="continuationSeparator" w:id="65">
    <w:p>
      <w:r>
        <w:continuationSeparator/>
      </w:r>
    </w:p>
  </w:footnote>
  <w:footnote w:id="0">
    <w:p>
      <w:pPr>
        <w:pStyle w:val="6"/>
        <w:snapToGrid w:val="0"/>
        <w:ind w:firstLine="360" w:firstLineChars="200"/>
        <w:rPr>
          <w:rFonts w:hint="default" w:eastAsia="宋体"/>
          <w:lang w:val="en-US" w:eastAsia="zh-CN"/>
        </w:rPr>
      </w:pPr>
      <w:r>
        <w:rPr>
          <w:rStyle w:val="12"/>
        </w:rPr>
        <w:footnoteRef/>
      </w:r>
      <w:r>
        <w:t xml:space="preserve"> </w:t>
      </w:r>
      <w:r>
        <w:rPr>
          <w:rFonts w:hint="eastAsia"/>
          <w:lang w:val="en-US" w:eastAsia="zh-CN"/>
        </w:rPr>
        <w:t>作者：徐斌，佛山市顺德区人民检察院第四检察部主任；黄玉湄，佛山市顺德区人民检察院第五检察部检察官助理。</w:t>
      </w:r>
    </w:p>
  </w:footnote>
  <w:footnote w:id="1">
    <w:p>
      <w:pPr>
        <w:pStyle w:val="7"/>
        <w:keepNext w:val="0"/>
        <w:keepLines w:val="0"/>
        <w:pageBreakBefore w:val="0"/>
        <w:widowControl/>
        <w:shd w:val="clear" w:color="auto" w:fill="FFFFFF"/>
        <w:kinsoku/>
        <w:wordWrap/>
        <w:overflowPunct/>
        <w:topLinePunct w:val="0"/>
        <w:autoSpaceDE/>
        <w:autoSpaceDN/>
        <w:bidi w:val="0"/>
        <w:adjustRightInd/>
        <w:snapToGrid w:val="0"/>
        <w:spacing w:before="0" w:beforeAutospacing="0" w:after="0" w:afterAutospacing="0"/>
        <w:ind w:firstLine="360" w:firstLineChars="200"/>
        <w:jc w:val="both"/>
        <w:textAlignment w:val="auto"/>
        <w:rPr>
          <w:rFonts w:hint="eastAsia" w:ascii="Times New Roman" w:hAnsi="Times New Roman" w:eastAsia="宋体" w:cs="Cordia New (正文 CS 字体)"/>
          <w:kern w:val="2"/>
          <w:sz w:val="18"/>
          <w:szCs w:val="18"/>
          <w:lang w:val="en-US" w:eastAsia="zh-CN" w:bidi="ar-SA"/>
        </w:rPr>
      </w:pPr>
      <w:r>
        <w:rPr>
          <w:rFonts w:hint="eastAsia" w:ascii="微软雅黑" w:hAnsi="微软雅黑" w:eastAsia="微软雅黑" w:cs="微软雅黑"/>
          <w:sz w:val="18"/>
          <w:szCs w:val="18"/>
          <w:shd w:val="clear" w:color="auto" w:fill="FFFFFF"/>
          <w:vertAlign w:val="superscript"/>
        </w:rPr>
        <w:footnoteRef/>
      </w:r>
      <w:r>
        <w:t xml:space="preserve"> </w:t>
      </w:r>
      <w:r>
        <w:rPr>
          <w:rFonts w:hint="eastAsia" w:ascii="Times New Roman" w:hAnsi="Times New Roman" w:eastAsia="宋体" w:cs="Cordia New (正文 CS 字体)"/>
          <w:kern w:val="2"/>
          <w:sz w:val="18"/>
          <w:szCs w:val="18"/>
          <w:lang w:val="en-US" w:eastAsia="zh-CN" w:bidi="ar-SA"/>
        </w:rPr>
        <w:t>《深化粤港澳合作推进大湾区建设框架协议》由 国家发展和改革委员会、广东省人民政府、</w:t>
      </w:r>
    </w:p>
    <w:p>
      <w:pPr>
        <w:pStyle w:val="7"/>
        <w:keepNext w:val="0"/>
        <w:keepLines w:val="0"/>
        <w:pageBreakBefore w:val="0"/>
        <w:widowControl/>
        <w:shd w:val="clear" w:color="auto" w:fill="FFFFFF"/>
        <w:kinsoku/>
        <w:wordWrap/>
        <w:overflowPunct/>
        <w:topLinePunct w:val="0"/>
        <w:autoSpaceDE/>
        <w:autoSpaceDN/>
        <w:bidi w:val="0"/>
        <w:adjustRightInd/>
        <w:snapToGrid w:val="0"/>
        <w:spacing w:before="0" w:beforeAutospacing="0" w:after="0" w:afterAutospacing="0"/>
        <w:jc w:val="both"/>
        <w:textAlignment w:val="auto"/>
        <w:rPr>
          <w:rFonts w:hint="eastAsia" w:ascii="Times New Roman" w:hAnsi="Times New Roman" w:eastAsia="宋体" w:cs="Cordia New (正文 CS 字体)"/>
          <w:kern w:val="2"/>
          <w:sz w:val="18"/>
          <w:szCs w:val="18"/>
          <w:lang w:val="en-US" w:eastAsia="zh-CN" w:bidi="ar-SA"/>
        </w:rPr>
      </w:pPr>
      <w:r>
        <w:rPr>
          <w:rFonts w:hint="eastAsia" w:ascii="Times New Roman" w:hAnsi="Times New Roman" w:eastAsia="宋体" w:cs="Cordia New (正文 CS 字体)"/>
          <w:kern w:val="2"/>
          <w:sz w:val="18"/>
          <w:szCs w:val="18"/>
          <w:lang w:val="en-US" w:eastAsia="zh-CN" w:bidi="ar-SA"/>
        </w:rPr>
        <w:t>香港特别行政区政府、澳门特别行政区政府四方代表签署。签署之日起生效，有效期五年。经四方协商同意，可对本协议进行修正和展期。本协议于2017年7月1日在香港签署。</w:t>
      </w:r>
    </w:p>
  </w:footnote>
  <w:footnote w:id="2">
    <w:p>
      <w:pPr>
        <w:pStyle w:val="7"/>
        <w:keepNext w:val="0"/>
        <w:keepLines w:val="0"/>
        <w:pageBreakBefore w:val="0"/>
        <w:widowControl/>
        <w:shd w:val="clear" w:color="auto" w:fill="FFFFFF"/>
        <w:kinsoku/>
        <w:wordWrap/>
        <w:overflowPunct/>
        <w:topLinePunct w:val="0"/>
        <w:autoSpaceDE/>
        <w:autoSpaceDN/>
        <w:bidi w:val="0"/>
        <w:adjustRightInd/>
        <w:snapToGrid w:val="0"/>
        <w:spacing w:before="0" w:beforeAutospacing="0" w:after="0" w:afterAutospacing="0"/>
        <w:ind w:firstLine="360" w:firstLineChars="200"/>
        <w:jc w:val="both"/>
        <w:textAlignment w:val="auto"/>
        <w:rPr>
          <w:rFonts w:hint="eastAsia" w:ascii="Times New Roman" w:hAnsi="Times New Roman" w:eastAsia="宋体" w:cs="Cordia New (正文 CS 字体)"/>
          <w:kern w:val="2"/>
          <w:sz w:val="18"/>
          <w:szCs w:val="18"/>
          <w:lang w:val="en-US" w:eastAsia="zh-CN" w:bidi="ar-SA"/>
        </w:rPr>
      </w:pPr>
      <w:r>
        <w:rPr>
          <w:rFonts w:hint="eastAsia" w:ascii="微软雅黑" w:hAnsi="微软雅黑" w:eastAsia="微软雅黑" w:cs="微软雅黑"/>
          <w:sz w:val="18"/>
          <w:szCs w:val="18"/>
          <w:shd w:val="clear" w:color="auto" w:fill="FFFFFF"/>
          <w:vertAlign w:val="superscript"/>
        </w:rPr>
        <w:footnoteRef/>
      </w:r>
      <w:r>
        <w:t xml:space="preserve"> </w:t>
      </w:r>
      <w:r>
        <w:rPr>
          <w:rFonts w:hint="eastAsia" w:ascii="Times New Roman" w:hAnsi="Times New Roman" w:eastAsia="宋体" w:cs="Cordia New (正文 CS 字体)"/>
          <w:kern w:val="2"/>
          <w:sz w:val="18"/>
          <w:szCs w:val="18"/>
          <w:lang w:val="en-US" w:eastAsia="zh-CN" w:bidi="ar-SA"/>
        </w:rPr>
        <w:t>2015年7月，全国人大常委会作出决定，授权北京等13个省区开展为期两年的试点。2017年6月，全国人大常委会通过修改民事诉讼法、行政诉讼法的决定，2017年7月1日正式建立了公益诉讼检察制度。</w:t>
      </w:r>
    </w:p>
  </w:footnote>
  <w:footnote w:id="3">
    <w:p>
      <w:pPr>
        <w:pStyle w:val="7"/>
        <w:keepNext w:val="0"/>
        <w:keepLines w:val="0"/>
        <w:pageBreakBefore w:val="0"/>
        <w:widowControl/>
        <w:shd w:val="clear" w:color="auto" w:fill="FFFFFF"/>
        <w:kinsoku/>
        <w:wordWrap/>
        <w:overflowPunct/>
        <w:topLinePunct w:val="0"/>
        <w:autoSpaceDE/>
        <w:autoSpaceDN/>
        <w:bidi w:val="0"/>
        <w:adjustRightInd/>
        <w:snapToGrid w:val="0"/>
        <w:spacing w:before="0" w:beforeAutospacing="0" w:after="0" w:afterAutospacing="0"/>
        <w:ind w:firstLine="360" w:firstLineChars="200"/>
        <w:jc w:val="both"/>
        <w:textAlignment w:val="auto"/>
        <w:rPr>
          <w:rFonts w:hint="eastAsia" w:ascii="Times New Roman" w:hAnsi="Times New Roman" w:eastAsia="宋体" w:cs="Cordia New (正文 CS 字体)"/>
          <w:kern w:val="2"/>
          <w:sz w:val="18"/>
          <w:szCs w:val="18"/>
          <w:lang w:val="en-US" w:eastAsia="zh-CN" w:bidi="ar-SA"/>
        </w:rPr>
      </w:pPr>
      <w:r>
        <w:rPr>
          <w:rFonts w:hint="eastAsia" w:ascii="微软雅黑" w:hAnsi="微软雅黑" w:eastAsia="微软雅黑" w:cs="微软雅黑"/>
          <w:sz w:val="18"/>
          <w:szCs w:val="18"/>
          <w:shd w:val="clear" w:color="auto" w:fill="FFFFFF"/>
          <w:vertAlign w:val="superscript"/>
          <w:lang w:val="en-US" w:eastAsia="zh-CN"/>
        </w:rPr>
        <w:footnoteRef/>
      </w:r>
      <w:r>
        <w:t xml:space="preserve"> </w:t>
      </w:r>
      <w:r>
        <w:rPr>
          <w:rFonts w:hint="eastAsia" w:ascii="Times New Roman" w:hAnsi="Times New Roman" w:eastAsia="宋体" w:cs="Cordia New (正文 CS 字体)"/>
          <w:kern w:val="2"/>
          <w:sz w:val="18"/>
          <w:szCs w:val="18"/>
          <w:lang w:val="en-US" w:eastAsia="zh-CN" w:bidi="ar-SA"/>
        </w:rPr>
        <w:t>《中华人民共和国英雄烈士保护法》第二十五条：对侵害英雄烈士的姓名、肖像、名誉、荣誉的行为，英雄烈士的近亲属可以依法向人民法院提起诉讼。</w:t>
      </w:r>
    </w:p>
    <w:p>
      <w:pPr>
        <w:pStyle w:val="7"/>
        <w:keepNext w:val="0"/>
        <w:keepLines w:val="0"/>
        <w:pageBreakBefore w:val="0"/>
        <w:widowControl/>
        <w:shd w:val="clear" w:color="auto" w:fill="FFFFFF"/>
        <w:kinsoku/>
        <w:wordWrap/>
        <w:overflowPunct/>
        <w:topLinePunct w:val="0"/>
        <w:autoSpaceDE/>
        <w:autoSpaceDN/>
        <w:bidi w:val="0"/>
        <w:adjustRightInd/>
        <w:snapToGrid w:val="0"/>
        <w:spacing w:before="0" w:beforeAutospacing="0" w:after="0" w:afterAutospacing="0"/>
        <w:jc w:val="both"/>
        <w:textAlignment w:val="auto"/>
        <w:rPr>
          <w:rFonts w:hint="eastAsia" w:ascii="Times New Roman" w:hAnsi="Times New Roman" w:eastAsia="宋体" w:cs="Cordia New (正文 CS 字体)"/>
          <w:kern w:val="2"/>
          <w:sz w:val="18"/>
          <w:szCs w:val="18"/>
          <w:lang w:val="en-US" w:eastAsia="zh-CN" w:bidi="ar-SA"/>
        </w:rPr>
      </w:pPr>
      <w:r>
        <w:rPr>
          <w:rFonts w:hint="eastAsia" w:ascii="Times New Roman" w:hAnsi="Times New Roman" w:eastAsia="宋体" w:cs="Cordia New (正文 CS 字体)"/>
          <w:kern w:val="2"/>
          <w:sz w:val="18"/>
          <w:szCs w:val="18"/>
          <w:lang w:val="en-US" w:eastAsia="zh-CN" w:bidi="ar-SA"/>
        </w:rPr>
        <w:t>英雄烈士没有近亲属或者近亲属不提起诉讼的，检察机关依法对侵害英雄烈士的姓名、肖像、名誉、荣誉，损害社会公共利益的行为向人民法院提起诉讼。</w:t>
      </w:r>
    </w:p>
    <w:p>
      <w:pPr>
        <w:pStyle w:val="7"/>
        <w:keepNext w:val="0"/>
        <w:keepLines w:val="0"/>
        <w:pageBreakBefore w:val="0"/>
        <w:widowControl/>
        <w:shd w:val="clear" w:color="auto" w:fill="FFFFFF"/>
        <w:kinsoku/>
        <w:wordWrap/>
        <w:overflowPunct/>
        <w:topLinePunct w:val="0"/>
        <w:autoSpaceDE/>
        <w:autoSpaceDN/>
        <w:bidi w:val="0"/>
        <w:adjustRightInd/>
        <w:snapToGrid w:val="0"/>
        <w:spacing w:before="0" w:beforeAutospacing="0" w:after="0" w:afterAutospacing="0"/>
        <w:jc w:val="both"/>
        <w:textAlignment w:val="auto"/>
        <w:rPr>
          <w:rFonts w:hint="eastAsia" w:ascii="Times New Roman" w:hAnsi="Times New Roman" w:eastAsia="宋体" w:cs="Cordia New (正文 CS 字体)"/>
          <w:kern w:val="2"/>
          <w:sz w:val="18"/>
          <w:szCs w:val="18"/>
          <w:lang w:val="en-US" w:eastAsia="zh-CN" w:bidi="ar-SA"/>
        </w:rPr>
      </w:pPr>
      <w:r>
        <w:rPr>
          <w:rFonts w:hint="eastAsia" w:ascii="Times New Roman" w:hAnsi="Times New Roman" w:eastAsia="宋体" w:cs="Cordia New (正文 CS 字体)"/>
          <w:kern w:val="2"/>
          <w:sz w:val="18"/>
          <w:szCs w:val="18"/>
          <w:lang w:val="en-US" w:eastAsia="zh-CN" w:bidi="ar-SA"/>
        </w:rPr>
        <w:t>负责英雄烈士保护工作的部门和其他有关部门在履行职责过程中发现第一款规定的行为，需要检察机关提起诉讼的，应当向检察机关报告。</w:t>
      </w:r>
    </w:p>
    <w:p>
      <w:pPr>
        <w:pStyle w:val="7"/>
        <w:keepNext w:val="0"/>
        <w:keepLines w:val="0"/>
        <w:pageBreakBefore w:val="0"/>
        <w:widowControl/>
        <w:shd w:val="clear" w:color="auto" w:fill="FFFFFF"/>
        <w:kinsoku/>
        <w:wordWrap/>
        <w:overflowPunct/>
        <w:topLinePunct w:val="0"/>
        <w:autoSpaceDE/>
        <w:autoSpaceDN/>
        <w:bidi w:val="0"/>
        <w:adjustRightInd/>
        <w:snapToGrid w:val="0"/>
        <w:spacing w:before="0" w:beforeAutospacing="0" w:after="0" w:afterAutospacing="0"/>
        <w:jc w:val="both"/>
        <w:textAlignment w:val="auto"/>
        <w:rPr>
          <w:rFonts w:hint="eastAsia" w:ascii="Times New Roman" w:hAnsi="Times New Roman" w:eastAsia="宋体" w:cs="Cordia New (正文 CS 字体)"/>
          <w:kern w:val="2"/>
          <w:sz w:val="18"/>
          <w:szCs w:val="18"/>
          <w:lang w:val="en-US" w:eastAsia="zh-CN" w:bidi="ar-SA"/>
        </w:rPr>
      </w:pPr>
      <w:r>
        <w:rPr>
          <w:rFonts w:hint="eastAsia" w:ascii="Times New Roman" w:hAnsi="Times New Roman" w:eastAsia="宋体" w:cs="Cordia New (正文 CS 字体)"/>
          <w:kern w:val="2"/>
          <w:sz w:val="18"/>
          <w:szCs w:val="18"/>
          <w:lang w:val="en-US" w:eastAsia="zh-CN" w:bidi="ar-SA"/>
        </w:rPr>
        <w:t>英雄烈士近亲属依照第一款规定提起诉讼的，法律援助机构应当依法提供法律援助服务。</w:t>
      </w:r>
    </w:p>
  </w:footnote>
  <w:footnote w:id="4">
    <w:p>
      <w:pPr>
        <w:pStyle w:val="7"/>
        <w:keepNext w:val="0"/>
        <w:keepLines w:val="0"/>
        <w:pageBreakBefore w:val="0"/>
        <w:widowControl/>
        <w:shd w:val="clear" w:color="auto" w:fill="FFFFFF"/>
        <w:kinsoku/>
        <w:wordWrap/>
        <w:overflowPunct/>
        <w:topLinePunct w:val="0"/>
        <w:autoSpaceDE/>
        <w:autoSpaceDN/>
        <w:bidi w:val="0"/>
        <w:adjustRightInd/>
        <w:snapToGrid w:val="0"/>
        <w:spacing w:before="0" w:beforeAutospacing="0" w:after="0" w:afterAutospacing="0"/>
        <w:ind w:firstLine="360" w:firstLineChars="200"/>
        <w:jc w:val="both"/>
        <w:textAlignment w:val="auto"/>
        <w:rPr>
          <w:rFonts w:hint="eastAsia" w:ascii="Times New Roman" w:hAnsi="Times New Roman" w:eastAsia="宋体" w:cs="Cordia New (正文 CS 字体)"/>
          <w:kern w:val="2"/>
          <w:sz w:val="18"/>
          <w:szCs w:val="18"/>
          <w:lang w:val="en-US" w:eastAsia="zh-CN" w:bidi="ar-SA"/>
        </w:rPr>
      </w:pPr>
      <w:r>
        <w:rPr>
          <w:rFonts w:hint="eastAsia" w:ascii="微软雅黑" w:hAnsi="微软雅黑" w:eastAsia="微软雅黑" w:cs="微软雅黑"/>
          <w:sz w:val="18"/>
          <w:szCs w:val="18"/>
          <w:shd w:val="clear" w:color="auto" w:fill="FFFFFF"/>
          <w:vertAlign w:val="superscript"/>
          <w:lang w:val="en-US" w:eastAsia="zh-CN"/>
        </w:rPr>
        <w:footnoteRef/>
      </w:r>
      <w:r>
        <w:t xml:space="preserve"> </w:t>
      </w:r>
      <w:r>
        <w:rPr>
          <w:rFonts w:hint="eastAsia" w:ascii="Times New Roman" w:hAnsi="Times New Roman" w:eastAsia="宋体" w:cs="Cordia New (正文 CS 字体)"/>
          <w:kern w:val="2"/>
          <w:sz w:val="18"/>
          <w:szCs w:val="18"/>
          <w:lang w:val="en-US" w:eastAsia="zh-CN" w:bidi="ar-SA"/>
        </w:rPr>
        <w:t>《中华人民共和国未成年人保护法》第一百零六条</w:t>
      </w:r>
      <w:r>
        <w:rPr>
          <w:rFonts w:hint="eastAsia" w:ascii="Times New Roman" w:hAnsi="Times New Roman" w:cs="Cordia New (正文 CS 字体)"/>
          <w:kern w:val="2"/>
          <w:sz w:val="18"/>
          <w:szCs w:val="18"/>
          <w:lang w:val="en-US" w:eastAsia="zh-CN" w:bidi="ar-SA"/>
        </w:rPr>
        <w:t>：</w:t>
      </w:r>
      <w:r>
        <w:rPr>
          <w:rFonts w:hint="eastAsia" w:ascii="Times New Roman" w:hAnsi="Times New Roman" w:eastAsia="宋体" w:cs="Cordia New (正文 CS 字体)"/>
          <w:kern w:val="2"/>
          <w:sz w:val="18"/>
          <w:szCs w:val="18"/>
          <w:lang w:val="en-US" w:eastAsia="zh-CN" w:bidi="ar-SA"/>
        </w:rPr>
        <w:t>未成年人合法权益受到侵犯，相关组织和个人未代为提起诉讼的，人民检察院可以督促、支持其提起诉讼；涉及公共利益的，人民检察院有权提起公益诉讼。</w:t>
      </w:r>
    </w:p>
  </w:footnote>
  <w:footnote w:id="5">
    <w:p>
      <w:pPr>
        <w:pStyle w:val="7"/>
        <w:keepNext w:val="0"/>
        <w:keepLines w:val="0"/>
        <w:pageBreakBefore w:val="0"/>
        <w:widowControl/>
        <w:shd w:val="clear" w:color="auto" w:fill="FFFFFF"/>
        <w:kinsoku/>
        <w:wordWrap/>
        <w:overflowPunct/>
        <w:topLinePunct w:val="0"/>
        <w:autoSpaceDE/>
        <w:autoSpaceDN/>
        <w:bidi w:val="0"/>
        <w:adjustRightInd/>
        <w:snapToGrid w:val="0"/>
        <w:spacing w:before="0" w:beforeAutospacing="0" w:after="0" w:afterAutospacing="0"/>
        <w:ind w:firstLine="360" w:firstLineChars="200"/>
        <w:jc w:val="both"/>
        <w:textAlignment w:val="auto"/>
        <w:rPr>
          <w:rFonts w:hint="eastAsia" w:ascii="Times New Roman" w:hAnsi="Times New Roman" w:eastAsia="宋体" w:cs="Cordia New (正文 CS 字体)"/>
          <w:kern w:val="2"/>
          <w:sz w:val="18"/>
          <w:szCs w:val="18"/>
          <w:lang w:val="en-US" w:eastAsia="zh-CN" w:bidi="ar-SA"/>
        </w:rPr>
      </w:pPr>
      <w:r>
        <w:rPr>
          <w:rFonts w:hint="eastAsia" w:ascii="微软雅黑" w:hAnsi="微软雅黑" w:eastAsia="微软雅黑" w:cs="微软雅黑"/>
          <w:sz w:val="18"/>
          <w:szCs w:val="18"/>
          <w:shd w:val="clear" w:color="auto" w:fill="FFFFFF"/>
          <w:vertAlign w:val="superscript"/>
          <w:lang w:val="en-US" w:eastAsia="zh-CN"/>
        </w:rPr>
        <w:footnoteRef/>
      </w:r>
      <w:r>
        <w:t xml:space="preserve"> </w:t>
      </w:r>
      <w:r>
        <w:rPr>
          <w:rFonts w:hint="eastAsia" w:ascii="Times New Roman" w:hAnsi="Times New Roman" w:eastAsia="宋体" w:cs="Cordia New (正文 CS 字体)"/>
          <w:kern w:val="2"/>
          <w:sz w:val="18"/>
          <w:szCs w:val="18"/>
          <w:lang w:val="en-US" w:eastAsia="zh-CN" w:bidi="ar-SA"/>
        </w:rPr>
        <w:t>《中华人民共和国军人地位和权益保障法》第六十二条：侵害军人荣誉、名誉和其他相关合法权益，严重影响军人有效履行职责使命，致使社会公共利益受到损害的，人民检察院可以根据民事诉讼法、行政诉讼法的相关规定提起公益诉讼。</w:t>
      </w:r>
    </w:p>
  </w:footnote>
  <w:footnote w:id="6">
    <w:p>
      <w:pPr>
        <w:pStyle w:val="7"/>
        <w:keepNext w:val="0"/>
        <w:keepLines w:val="0"/>
        <w:pageBreakBefore w:val="0"/>
        <w:widowControl/>
        <w:shd w:val="clear" w:color="auto" w:fill="FFFFFF"/>
        <w:kinsoku/>
        <w:wordWrap/>
        <w:overflowPunct/>
        <w:topLinePunct w:val="0"/>
        <w:autoSpaceDE/>
        <w:autoSpaceDN/>
        <w:bidi w:val="0"/>
        <w:adjustRightInd/>
        <w:snapToGrid w:val="0"/>
        <w:spacing w:before="0" w:beforeAutospacing="0" w:after="0" w:afterAutospacing="0"/>
        <w:ind w:firstLine="360" w:firstLineChars="200"/>
        <w:jc w:val="both"/>
        <w:textAlignment w:val="auto"/>
        <w:rPr>
          <w:rFonts w:hint="eastAsia" w:ascii="Times New Roman" w:hAnsi="Times New Roman" w:eastAsia="宋体" w:cs="Cordia New (正文 CS 字体)"/>
          <w:kern w:val="2"/>
          <w:sz w:val="18"/>
          <w:szCs w:val="18"/>
          <w:lang w:val="en-US" w:eastAsia="zh-CN" w:bidi="ar-SA"/>
        </w:rPr>
      </w:pPr>
      <w:r>
        <w:rPr>
          <w:rFonts w:hint="eastAsia" w:ascii="微软雅黑" w:hAnsi="微软雅黑" w:eastAsia="微软雅黑" w:cs="微软雅黑"/>
          <w:sz w:val="18"/>
          <w:szCs w:val="18"/>
          <w:shd w:val="clear" w:color="auto" w:fill="FFFFFF"/>
          <w:vertAlign w:val="superscript"/>
          <w:lang w:val="en-US" w:eastAsia="zh-CN"/>
        </w:rPr>
        <w:footnoteRef/>
      </w:r>
      <w:r>
        <w:t xml:space="preserve"> </w:t>
      </w:r>
      <w:r>
        <w:rPr>
          <w:rFonts w:hint="eastAsia" w:ascii="Times New Roman" w:hAnsi="Times New Roman" w:eastAsia="宋体" w:cs="Cordia New (正文 CS 字体)"/>
          <w:kern w:val="2"/>
          <w:sz w:val="18"/>
          <w:szCs w:val="18"/>
          <w:lang w:val="en-US" w:eastAsia="zh-CN" w:bidi="ar-SA"/>
        </w:rPr>
        <w:t>《中华人民共和国安全生产法》第七十四条第二款：因安全生产违法行为造成重大事故隐患或者导致重大事故，致使国家利益或者社会公共利益受到侵害的，人民检察院可以根据民事诉讼法、行政诉讼法的相关规定提起公益诉讼。</w:t>
      </w:r>
    </w:p>
  </w:footnote>
  <w:footnote w:id="7">
    <w:p>
      <w:pPr>
        <w:pStyle w:val="7"/>
        <w:keepNext w:val="0"/>
        <w:keepLines w:val="0"/>
        <w:pageBreakBefore w:val="0"/>
        <w:widowControl/>
        <w:shd w:val="clear" w:color="auto" w:fill="FFFFFF"/>
        <w:kinsoku/>
        <w:wordWrap/>
        <w:overflowPunct/>
        <w:topLinePunct w:val="0"/>
        <w:autoSpaceDE/>
        <w:autoSpaceDN/>
        <w:bidi w:val="0"/>
        <w:adjustRightInd/>
        <w:snapToGrid w:val="0"/>
        <w:spacing w:before="0" w:beforeAutospacing="0" w:after="0" w:afterAutospacing="0"/>
        <w:ind w:firstLine="360" w:firstLineChars="200"/>
        <w:jc w:val="both"/>
        <w:textAlignment w:val="auto"/>
        <w:rPr>
          <w:rFonts w:hint="eastAsia" w:ascii="Times New Roman" w:hAnsi="Times New Roman" w:eastAsia="宋体" w:cs="Cordia New (正文 CS 字体)"/>
          <w:kern w:val="2"/>
          <w:sz w:val="18"/>
          <w:szCs w:val="18"/>
          <w:lang w:val="en-US" w:eastAsia="zh-CN" w:bidi="ar-SA"/>
        </w:rPr>
      </w:pPr>
      <w:r>
        <w:rPr>
          <w:rFonts w:hint="eastAsia" w:ascii="微软雅黑" w:hAnsi="微软雅黑" w:eastAsia="微软雅黑" w:cs="微软雅黑"/>
          <w:sz w:val="18"/>
          <w:szCs w:val="18"/>
          <w:shd w:val="clear" w:color="auto" w:fill="FFFFFF"/>
          <w:vertAlign w:val="superscript"/>
          <w:lang w:val="en-US" w:eastAsia="zh-CN"/>
        </w:rPr>
        <w:footnoteRef/>
      </w:r>
      <w:r>
        <w:t xml:space="preserve"> </w:t>
      </w:r>
      <w:r>
        <w:rPr>
          <w:rFonts w:hint="eastAsia" w:ascii="Times New Roman" w:hAnsi="Times New Roman" w:eastAsia="宋体" w:cs="Cordia New (正文 CS 字体)"/>
          <w:kern w:val="2"/>
          <w:sz w:val="18"/>
          <w:szCs w:val="18"/>
          <w:lang w:val="en-US" w:eastAsia="zh-CN" w:bidi="ar-SA"/>
        </w:rPr>
        <w:t>《中华人民共和国个人信息保护法》第七十条：个人信息处理者违反本法规定处理个人信息，侵害众多个人的权益的，人民检察院、法律规定的消费者组织和由国家网信部门确定的组织可以依法向人民法院提起诉讼。</w:t>
      </w:r>
    </w:p>
  </w:footnote>
  <w:footnote w:id="8">
    <w:p>
      <w:pPr>
        <w:pStyle w:val="7"/>
        <w:keepNext w:val="0"/>
        <w:keepLines w:val="0"/>
        <w:pageBreakBefore w:val="0"/>
        <w:widowControl/>
        <w:shd w:val="clear" w:color="auto" w:fill="FFFFFF"/>
        <w:kinsoku/>
        <w:wordWrap/>
        <w:overflowPunct/>
        <w:topLinePunct w:val="0"/>
        <w:autoSpaceDE/>
        <w:autoSpaceDN/>
        <w:bidi w:val="0"/>
        <w:adjustRightInd/>
        <w:snapToGrid w:val="0"/>
        <w:spacing w:before="0" w:beforeAutospacing="0" w:after="0" w:afterAutospacing="0"/>
        <w:ind w:firstLine="360" w:firstLineChars="200"/>
        <w:jc w:val="both"/>
        <w:textAlignment w:val="auto"/>
        <w:rPr>
          <w:rFonts w:hint="eastAsia" w:ascii="Times New Roman" w:hAnsi="Times New Roman" w:eastAsia="宋体" w:cs="Cordia New (正文 CS 字体)"/>
          <w:kern w:val="2"/>
          <w:sz w:val="18"/>
          <w:szCs w:val="18"/>
          <w:lang w:val="en-US" w:eastAsia="zh-CN" w:bidi="ar-SA"/>
        </w:rPr>
      </w:pPr>
      <w:r>
        <w:rPr>
          <w:rFonts w:hint="eastAsia" w:ascii="微软雅黑" w:hAnsi="微软雅黑" w:eastAsia="微软雅黑" w:cs="微软雅黑"/>
          <w:sz w:val="18"/>
          <w:szCs w:val="18"/>
          <w:shd w:val="clear" w:color="auto" w:fill="FFFFFF"/>
          <w:vertAlign w:val="superscript"/>
          <w:lang w:val="en-US" w:eastAsia="zh-CN"/>
        </w:rPr>
        <w:footnoteRef/>
      </w:r>
      <w:r>
        <w:t xml:space="preserve"> </w:t>
      </w:r>
      <w:r>
        <w:rPr>
          <w:rFonts w:hint="eastAsia" w:ascii="Times New Roman" w:hAnsi="Times New Roman" w:eastAsia="宋体" w:cs="Cordia New (正文 CS 字体)"/>
          <w:kern w:val="2"/>
          <w:sz w:val="18"/>
          <w:szCs w:val="18"/>
          <w:lang w:val="en-US" w:eastAsia="zh-CN" w:bidi="ar-SA"/>
        </w:rPr>
        <w:t>《中华人民共和国反垄断法》第六十条第二款：经营者实施垄断行为，损害社会公共利益的，设区的市级以上人民检察院可以依法向人民法院提起民事公益诉讼。</w:t>
      </w:r>
    </w:p>
  </w:footnote>
  <w:footnote w:id="9">
    <w:p>
      <w:pPr>
        <w:pStyle w:val="7"/>
        <w:keepNext w:val="0"/>
        <w:keepLines w:val="0"/>
        <w:pageBreakBefore w:val="0"/>
        <w:widowControl/>
        <w:shd w:val="clear" w:color="auto" w:fill="FFFFFF"/>
        <w:kinsoku/>
        <w:wordWrap/>
        <w:overflowPunct/>
        <w:topLinePunct w:val="0"/>
        <w:autoSpaceDE/>
        <w:autoSpaceDN/>
        <w:bidi w:val="0"/>
        <w:adjustRightInd/>
        <w:snapToGrid w:val="0"/>
        <w:spacing w:before="0" w:beforeAutospacing="0" w:after="0" w:afterAutospacing="0"/>
        <w:ind w:firstLine="360" w:firstLineChars="200"/>
        <w:jc w:val="both"/>
        <w:textAlignment w:val="auto"/>
        <w:rPr>
          <w:rFonts w:hint="eastAsia" w:ascii="Times New Roman" w:hAnsi="Times New Roman" w:eastAsia="宋体" w:cs="Cordia New (正文 CS 字体)"/>
          <w:kern w:val="2"/>
          <w:sz w:val="18"/>
          <w:szCs w:val="18"/>
          <w:lang w:val="en-US" w:eastAsia="zh-CN" w:bidi="ar-SA"/>
        </w:rPr>
      </w:pPr>
      <w:r>
        <w:rPr>
          <w:rFonts w:hint="eastAsia" w:ascii="Times New Roman" w:hAnsi="Times New Roman" w:eastAsia="宋体" w:cs="Cordia New (正文 CS 字体)"/>
          <w:kern w:val="2"/>
          <w:sz w:val="18"/>
          <w:szCs w:val="18"/>
          <w:vertAlign w:val="superscript"/>
          <w:lang w:val="en-US" w:eastAsia="zh-CN" w:bidi="ar-SA"/>
        </w:rPr>
        <w:footnoteRef/>
      </w:r>
      <w:r>
        <w:t xml:space="preserve"> </w:t>
      </w:r>
      <w:r>
        <w:rPr>
          <w:rFonts w:hint="eastAsia" w:ascii="Times New Roman" w:hAnsi="Times New Roman" w:eastAsia="宋体" w:cs="Cordia New (正文 CS 字体)"/>
          <w:kern w:val="2"/>
          <w:sz w:val="18"/>
          <w:szCs w:val="18"/>
          <w:lang w:val="en-US" w:eastAsia="zh-CN" w:bidi="ar-SA"/>
        </w:rPr>
        <w:t>《中华人民共和国反电信网络诈骗法》第四十七条：</w:t>
      </w:r>
      <w:r>
        <w:rPr>
          <w:rFonts w:hint="eastAsia" w:ascii="Times New Roman" w:hAnsi="Times New Roman" w:cs="Cordia New (正文 CS 字体)"/>
          <w:kern w:val="2"/>
          <w:sz w:val="18"/>
          <w:szCs w:val="18"/>
          <w:lang w:val="en-US" w:eastAsia="zh-CN" w:bidi="ar-SA"/>
        </w:rPr>
        <w:t>人</w:t>
      </w:r>
      <w:r>
        <w:rPr>
          <w:rFonts w:hint="eastAsia" w:ascii="Times New Roman" w:hAnsi="Times New Roman" w:eastAsia="宋体" w:cs="Cordia New (正文 CS 字体)"/>
          <w:kern w:val="2"/>
          <w:sz w:val="18"/>
          <w:szCs w:val="18"/>
          <w:lang w:val="en-US" w:eastAsia="zh-CN" w:bidi="ar-SA"/>
        </w:rPr>
        <w:t>民检察院在履行反电信网络诈骗职责中，对于侵害国家利益和社会公共利益的行为，可以依法向人民法院提起公益诉讼。</w:t>
      </w:r>
    </w:p>
  </w:footnote>
  <w:footnote w:id="10">
    <w:p>
      <w:pPr>
        <w:pStyle w:val="7"/>
        <w:keepNext w:val="0"/>
        <w:keepLines w:val="0"/>
        <w:pageBreakBefore w:val="0"/>
        <w:widowControl/>
        <w:shd w:val="clear" w:color="auto" w:fill="FFFFFF"/>
        <w:kinsoku/>
        <w:wordWrap/>
        <w:overflowPunct/>
        <w:topLinePunct w:val="0"/>
        <w:autoSpaceDE/>
        <w:autoSpaceDN/>
        <w:bidi w:val="0"/>
        <w:adjustRightInd/>
        <w:snapToGrid w:val="0"/>
        <w:spacing w:before="0" w:beforeAutospacing="0" w:after="0" w:afterAutospacing="0"/>
        <w:ind w:firstLine="360" w:firstLineChars="200"/>
        <w:jc w:val="both"/>
        <w:textAlignment w:val="auto"/>
        <w:rPr>
          <w:rFonts w:hint="eastAsia" w:ascii="Times New Roman" w:hAnsi="Times New Roman" w:eastAsia="宋体" w:cs="Cordia New (正文 CS 字体)"/>
          <w:kern w:val="2"/>
          <w:sz w:val="18"/>
          <w:szCs w:val="18"/>
          <w:lang w:val="en-US" w:eastAsia="zh-CN" w:bidi="ar-SA"/>
        </w:rPr>
      </w:pPr>
      <w:r>
        <w:rPr>
          <w:rFonts w:hint="eastAsia" w:ascii="Times New Roman" w:hAnsi="Times New Roman" w:eastAsia="宋体" w:cs="Cordia New (正文 CS 字体)"/>
          <w:kern w:val="2"/>
          <w:sz w:val="18"/>
          <w:szCs w:val="18"/>
          <w:vertAlign w:val="superscript"/>
          <w:lang w:val="en-US" w:eastAsia="zh-CN" w:bidi="ar-SA"/>
        </w:rPr>
        <w:footnoteRef/>
      </w:r>
      <w:r>
        <w:t xml:space="preserve"> </w:t>
      </w:r>
      <w:r>
        <w:rPr>
          <w:rFonts w:hint="eastAsia" w:ascii="Times New Roman" w:hAnsi="Times New Roman" w:eastAsia="宋体" w:cs="Cordia New (正文 CS 字体)"/>
          <w:kern w:val="2"/>
          <w:sz w:val="18"/>
          <w:szCs w:val="18"/>
          <w:lang w:val="en-US" w:eastAsia="zh-CN" w:bidi="ar-SA"/>
        </w:rPr>
        <w:t>《中华人民共和国农产品质量安全法》第七十九条第二款：食用农产品生产经营者违反本法规定，污染环境、侵害众多消费者合法权益，损害社会公共利益的，人民检察院可以依照《中华人民共和国民事诉讼法》、《中华人民共和国行政诉讼法》等法律的规定向人民法院提起诉讼。</w:t>
      </w:r>
    </w:p>
  </w:footnote>
  <w:footnote w:id="11">
    <w:p>
      <w:pPr>
        <w:pStyle w:val="7"/>
        <w:keepNext w:val="0"/>
        <w:keepLines w:val="0"/>
        <w:pageBreakBefore w:val="0"/>
        <w:widowControl/>
        <w:shd w:val="clear" w:color="auto" w:fill="FFFFFF"/>
        <w:kinsoku/>
        <w:wordWrap/>
        <w:overflowPunct/>
        <w:topLinePunct w:val="0"/>
        <w:autoSpaceDE/>
        <w:autoSpaceDN/>
        <w:bidi w:val="0"/>
        <w:adjustRightInd/>
        <w:snapToGrid w:val="0"/>
        <w:spacing w:before="0" w:beforeAutospacing="0" w:after="0" w:afterAutospacing="0"/>
        <w:ind w:firstLine="360" w:firstLineChars="200"/>
        <w:jc w:val="both"/>
        <w:textAlignment w:val="auto"/>
        <w:rPr>
          <w:rFonts w:hint="eastAsia" w:ascii="Times New Roman" w:hAnsi="Times New Roman" w:eastAsia="宋体" w:cs="Cordia New (正文 CS 字体)"/>
          <w:kern w:val="2"/>
          <w:sz w:val="18"/>
          <w:szCs w:val="18"/>
          <w:lang w:val="en-US" w:eastAsia="zh-CN" w:bidi="ar-SA"/>
        </w:rPr>
      </w:pPr>
      <w:r>
        <w:rPr>
          <w:rFonts w:hint="eastAsia" w:ascii="Times New Roman" w:hAnsi="Times New Roman" w:eastAsia="宋体" w:cs="Cordia New (正文 CS 字体)"/>
          <w:kern w:val="2"/>
          <w:sz w:val="18"/>
          <w:szCs w:val="18"/>
          <w:vertAlign w:val="superscript"/>
          <w:lang w:val="en-US" w:eastAsia="zh-CN" w:bidi="ar-SA"/>
        </w:rPr>
        <w:footnoteRef/>
      </w:r>
      <w:r>
        <w:t xml:space="preserve"> </w:t>
      </w:r>
      <w:r>
        <w:rPr>
          <w:rFonts w:hint="eastAsia" w:ascii="Times New Roman" w:hAnsi="Times New Roman" w:eastAsia="宋体" w:cs="Cordia New (正文 CS 字体)"/>
          <w:kern w:val="2"/>
          <w:sz w:val="18"/>
          <w:szCs w:val="18"/>
          <w:lang w:val="en-US" w:eastAsia="zh-CN" w:bidi="ar-SA"/>
        </w:rPr>
        <w:t>《中华人民共和国妇女权益保障法》第七十七条：侵害妇女合法权益，导致社会公共利益受损的，检察机关可以发出检察建议；有下列情形之一的，检察机关可以依法提起公益诉讼:</w:t>
      </w:r>
    </w:p>
    <w:p>
      <w:pPr>
        <w:pStyle w:val="7"/>
        <w:keepNext w:val="0"/>
        <w:keepLines w:val="0"/>
        <w:pageBreakBefore w:val="0"/>
        <w:widowControl/>
        <w:shd w:val="clear" w:color="auto" w:fill="FFFFFF"/>
        <w:kinsoku/>
        <w:wordWrap/>
        <w:overflowPunct/>
        <w:topLinePunct w:val="0"/>
        <w:autoSpaceDE/>
        <w:autoSpaceDN/>
        <w:bidi w:val="0"/>
        <w:adjustRightInd/>
        <w:snapToGrid w:val="0"/>
        <w:spacing w:before="0" w:beforeAutospacing="0" w:after="0" w:afterAutospacing="0"/>
        <w:ind w:firstLine="360" w:firstLineChars="200"/>
        <w:jc w:val="both"/>
        <w:textAlignment w:val="auto"/>
        <w:rPr>
          <w:rFonts w:hint="eastAsia" w:ascii="Times New Roman" w:hAnsi="Times New Roman" w:eastAsia="宋体" w:cs="Cordia New (正文 CS 字体)"/>
          <w:kern w:val="2"/>
          <w:sz w:val="18"/>
          <w:szCs w:val="18"/>
          <w:lang w:val="en-US" w:eastAsia="zh-CN" w:bidi="ar-SA"/>
        </w:rPr>
      </w:pPr>
      <w:r>
        <w:rPr>
          <w:rFonts w:hint="eastAsia" w:ascii="Times New Roman" w:hAnsi="Times New Roman" w:eastAsia="宋体" w:cs="Cordia New (正文 CS 字体)"/>
          <w:kern w:val="2"/>
          <w:sz w:val="18"/>
          <w:szCs w:val="18"/>
          <w:lang w:val="en-US" w:eastAsia="zh-CN" w:bidi="ar-SA"/>
        </w:rPr>
        <w:t>（一）确认农村妇女集体经济组织成员身份时侵害妇女权益或者侵害妇女享有的农村土地承包和集体收益、土地征收征用补偿分配权益和宅基地使用权益；</w:t>
      </w:r>
    </w:p>
    <w:p>
      <w:pPr>
        <w:pStyle w:val="7"/>
        <w:keepNext w:val="0"/>
        <w:keepLines w:val="0"/>
        <w:pageBreakBefore w:val="0"/>
        <w:widowControl/>
        <w:shd w:val="clear" w:color="auto" w:fill="FFFFFF"/>
        <w:kinsoku/>
        <w:wordWrap/>
        <w:overflowPunct/>
        <w:topLinePunct w:val="0"/>
        <w:autoSpaceDE/>
        <w:autoSpaceDN/>
        <w:bidi w:val="0"/>
        <w:adjustRightInd/>
        <w:snapToGrid w:val="0"/>
        <w:spacing w:before="0" w:beforeAutospacing="0" w:after="0" w:afterAutospacing="0"/>
        <w:ind w:firstLine="360" w:firstLineChars="200"/>
        <w:jc w:val="both"/>
        <w:textAlignment w:val="auto"/>
        <w:rPr>
          <w:rFonts w:hint="eastAsia" w:ascii="Times New Roman" w:hAnsi="Times New Roman" w:eastAsia="宋体" w:cs="Cordia New (正文 CS 字体)"/>
          <w:kern w:val="2"/>
          <w:sz w:val="18"/>
          <w:szCs w:val="18"/>
          <w:lang w:val="en-US" w:eastAsia="zh-CN" w:bidi="ar-SA"/>
        </w:rPr>
      </w:pPr>
      <w:r>
        <w:rPr>
          <w:rFonts w:hint="eastAsia" w:ascii="Times New Roman" w:hAnsi="Times New Roman" w:eastAsia="宋体" w:cs="Cordia New (正文 CS 字体)"/>
          <w:kern w:val="2"/>
          <w:sz w:val="18"/>
          <w:szCs w:val="18"/>
          <w:lang w:val="en-US" w:eastAsia="zh-CN" w:bidi="ar-SA"/>
        </w:rPr>
        <w:t>（二）侵害妇女平等就业权益；</w:t>
      </w:r>
    </w:p>
    <w:p>
      <w:pPr>
        <w:pStyle w:val="7"/>
        <w:keepNext w:val="0"/>
        <w:keepLines w:val="0"/>
        <w:pageBreakBefore w:val="0"/>
        <w:widowControl/>
        <w:shd w:val="clear" w:color="auto" w:fill="FFFFFF"/>
        <w:kinsoku/>
        <w:wordWrap/>
        <w:overflowPunct/>
        <w:topLinePunct w:val="0"/>
        <w:autoSpaceDE/>
        <w:autoSpaceDN/>
        <w:bidi w:val="0"/>
        <w:adjustRightInd/>
        <w:snapToGrid w:val="0"/>
        <w:spacing w:before="0" w:beforeAutospacing="0" w:after="0" w:afterAutospacing="0"/>
        <w:ind w:firstLine="360" w:firstLineChars="200"/>
        <w:jc w:val="both"/>
        <w:textAlignment w:val="auto"/>
        <w:rPr>
          <w:rFonts w:hint="eastAsia" w:ascii="Times New Roman" w:hAnsi="Times New Roman" w:eastAsia="宋体" w:cs="Cordia New (正文 CS 字体)"/>
          <w:kern w:val="2"/>
          <w:sz w:val="18"/>
          <w:szCs w:val="18"/>
          <w:lang w:val="en-US" w:eastAsia="zh-CN" w:bidi="ar-SA"/>
        </w:rPr>
      </w:pPr>
      <w:r>
        <w:rPr>
          <w:rFonts w:hint="eastAsia" w:ascii="Times New Roman" w:hAnsi="Times New Roman" w:eastAsia="宋体" w:cs="Cordia New (正文 CS 字体)"/>
          <w:kern w:val="2"/>
          <w:sz w:val="18"/>
          <w:szCs w:val="18"/>
          <w:lang w:val="en-US" w:eastAsia="zh-CN" w:bidi="ar-SA"/>
        </w:rPr>
        <w:t>（三）相关单位未采取合理措施预防和制止性骚扰；</w:t>
      </w:r>
    </w:p>
    <w:p>
      <w:pPr>
        <w:pStyle w:val="7"/>
        <w:keepNext w:val="0"/>
        <w:keepLines w:val="0"/>
        <w:pageBreakBefore w:val="0"/>
        <w:widowControl/>
        <w:shd w:val="clear" w:color="auto" w:fill="FFFFFF"/>
        <w:kinsoku/>
        <w:wordWrap/>
        <w:overflowPunct/>
        <w:topLinePunct w:val="0"/>
        <w:autoSpaceDE/>
        <w:autoSpaceDN/>
        <w:bidi w:val="0"/>
        <w:adjustRightInd/>
        <w:snapToGrid w:val="0"/>
        <w:spacing w:before="0" w:beforeAutospacing="0" w:after="0" w:afterAutospacing="0"/>
        <w:ind w:firstLine="360" w:firstLineChars="200"/>
        <w:jc w:val="both"/>
        <w:textAlignment w:val="auto"/>
        <w:rPr>
          <w:rFonts w:hint="eastAsia" w:ascii="Times New Roman" w:hAnsi="Times New Roman" w:eastAsia="宋体" w:cs="Cordia New (正文 CS 字体)"/>
          <w:kern w:val="2"/>
          <w:sz w:val="18"/>
          <w:szCs w:val="18"/>
          <w:lang w:val="en-US" w:eastAsia="zh-CN" w:bidi="ar-SA"/>
        </w:rPr>
      </w:pPr>
      <w:r>
        <w:rPr>
          <w:rFonts w:hint="eastAsia" w:ascii="Times New Roman" w:hAnsi="Times New Roman" w:eastAsia="宋体" w:cs="Cordia New (正文 CS 字体)"/>
          <w:kern w:val="2"/>
          <w:sz w:val="18"/>
          <w:szCs w:val="18"/>
          <w:lang w:val="en-US" w:eastAsia="zh-CN" w:bidi="ar-SA"/>
        </w:rPr>
        <w:t>（四）通过大众传播媒介或者其他方式贬低损害妇女人格；</w:t>
      </w:r>
    </w:p>
    <w:p>
      <w:pPr>
        <w:pStyle w:val="7"/>
        <w:keepNext w:val="0"/>
        <w:keepLines w:val="0"/>
        <w:pageBreakBefore w:val="0"/>
        <w:widowControl/>
        <w:shd w:val="clear" w:color="auto" w:fill="FFFFFF"/>
        <w:kinsoku/>
        <w:wordWrap/>
        <w:overflowPunct/>
        <w:topLinePunct w:val="0"/>
        <w:autoSpaceDE/>
        <w:autoSpaceDN/>
        <w:bidi w:val="0"/>
        <w:adjustRightInd/>
        <w:snapToGrid w:val="0"/>
        <w:spacing w:before="0" w:beforeAutospacing="0" w:after="0" w:afterAutospacing="0"/>
        <w:ind w:firstLine="360" w:firstLineChars="200"/>
        <w:jc w:val="both"/>
        <w:textAlignment w:val="auto"/>
        <w:rPr>
          <w:rFonts w:hint="eastAsia" w:ascii="Times New Roman" w:hAnsi="Times New Roman" w:eastAsia="宋体" w:cs="Cordia New (正文 CS 字体)"/>
          <w:kern w:val="2"/>
          <w:sz w:val="18"/>
          <w:szCs w:val="18"/>
          <w:lang w:val="en-US" w:eastAsia="zh-CN" w:bidi="ar-SA"/>
        </w:rPr>
      </w:pPr>
      <w:r>
        <w:rPr>
          <w:rFonts w:hint="eastAsia" w:ascii="Times New Roman" w:hAnsi="Times New Roman" w:eastAsia="宋体" w:cs="Cordia New (正文 CS 字体)"/>
          <w:kern w:val="2"/>
          <w:sz w:val="18"/>
          <w:szCs w:val="18"/>
          <w:lang w:val="en-US" w:eastAsia="zh-CN" w:bidi="ar-SA"/>
        </w:rPr>
        <w:t>（五）其他严重侵害妇女权益的情形。</w:t>
      </w:r>
    </w:p>
  </w:footnote>
  <w:footnote w:id="12">
    <w:p>
      <w:pPr>
        <w:pStyle w:val="7"/>
        <w:keepNext w:val="0"/>
        <w:keepLines w:val="0"/>
        <w:pageBreakBefore w:val="0"/>
        <w:widowControl/>
        <w:shd w:val="clear" w:color="auto" w:fill="FFFFFF"/>
        <w:kinsoku/>
        <w:wordWrap/>
        <w:overflowPunct/>
        <w:topLinePunct w:val="0"/>
        <w:autoSpaceDE/>
        <w:autoSpaceDN/>
        <w:bidi w:val="0"/>
        <w:adjustRightInd/>
        <w:snapToGrid w:val="0"/>
        <w:spacing w:before="0" w:beforeAutospacing="0" w:after="0" w:afterAutospacing="0"/>
        <w:ind w:firstLine="360" w:firstLineChars="200"/>
        <w:jc w:val="both"/>
        <w:textAlignment w:val="auto"/>
        <w:rPr>
          <w:rFonts w:hint="eastAsia" w:ascii="Times New Roman" w:hAnsi="Times New Roman" w:eastAsia="宋体" w:cs="Cordia New (正文 CS 字体)"/>
          <w:kern w:val="2"/>
          <w:sz w:val="18"/>
          <w:szCs w:val="18"/>
          <w:lang w:val="en-US" w:eastAsia="zh-CN" w:bidi="ar-SA"/>
        </w:rPr>
      </w:pPr>
      <w:r>
        <w:rPr>
          <w:rFonts w:hint="eastAsia" w:ascii="Times New Roman" w:hAnsi="Times New Roman" w:eastAsia="宋体" w:cs="Cordia New (正文 CS 字体)"/>
          <w:kern w:val="2"/>
          <w:sz w:val="18"/>
          <w:szCs w:val="18"/>
          <w:vertAlign w:val="superscript"/>
          <w:lang w:val="en-US" w:eastAsia="zh-CN" w:bidi="ar-SA"/>
        </w:rPr>
        <w:footnoteRef/>
      </w:r>
      <w:r>
        <w:t xml:space="preserve"> </w:t>
      </w:r>
      <w:r>
        <w:rPr>
          <w:rFonts w:hint="eastAsia" w:ascii="Times New Roman" w:hAnsi="Times New Roman" w:eastAsia="宋体" w:cs="Cordia New (正文 CS 字体)"/>
          <w:kern w:val="2"/>
          <w:sz w:val="18"/>
          <w:szCs w:val="18"/>
          <w:lang w:val="en-US" w:eastAsia="zh-CN" w:bidi="ar-SA"/>
        </w:rPr>
        <w:t>《中华人民共和国无障碍环境建设法》第六十三条：对违反本法规定损害社会公共利益的行为，人民检察院可以提出检察建议或者提起公益诉讼。</w:t>
      </w:r>
    </w:p>
  </w:footnote>
  <w:footnote w:id="13">
    <w:p>
      <w:pPr>
        <w:pStyle w:val="7"/>
        <w:keepNext w:val="0"/>
        <w:keepLines w:val="0"/>
        <w:pageBreakBefore w:val="0"/>
        <w:widowControl/>
        <w:shd w:val="clear" w:color="auto" w:fill="FFFFFF"/>
        <w:kinsoku/>
        <w:wordWrap/>
        <w:overflowPunct/>
        <w:topLinePunct w:val="0"/>
        <w:autoSpaceDE/>
        <w:autoSpaceDN/>
        <w:bidi w:val="0"/>
        <w:adjustRightInd/>
        <w:snapToGrid w:val="0"/>
        <w:spacing w:before="0" w:beforeAutospacing="0" w:after="0" w:afterAutospacing="0"/>
        <w:ind w:firstLine="360" w:firstLineChars="200"/>
        <w:jc w:val="both"/>
        <w:textAlignment w:val="auto"/>
        <w:rPr>
          <w:rFonts w:hint="eastAsia" w:ascii="Times New Roman" w:hAnsi="Times New Roman" w:eastAsia="宋体" w:cs="Cordia New (正文 CS 字体)"/>
          <w:kern w:val="2"/>
          <w:sz w:val="18"/>
          <w:szCs w:val="18"/>
          <w:lang w:val="en-US" w:eastAsia="zh-CN" w:bidi="ar-SA"/>
        </w:rPr>
      </w:pPr>
      <w:r>
        <w:rPr>
          <w:rFonts w:hint="eastAsia" w:ascii="Times New Roman" w:hAnsi="Times New Roman" w:eastAsia="宋体" w:cs="Cordia New (正文 CS 字体)"/>
          <w:kern w:val="2"/>
          <w:sz w:val="18"/>
          <w:szCs w:val="18"/>
          <w:vertAlign w:val="superscript"/>
          <w:lang w:val="en-US" w:eastAsia="zh-CN" w:bidi="ar-SA"/>
        </w:rPr>
        <w:footnoteRef/>
      </w:r>
      <w:r>
        <w:t xml:space="preserve"> </w:t>
      </w:r>
      <w:r>
        <w:rPr>
          <w:rFonts w:hint="eastAsia" w:ascii="Times New Roman" w:hAnsi="Times New Roman" w:eastAsia="宋体" w:cs="Cordia New (正文 CS 字体)"/>
          <w:kern w:val="2"/>
          <w:sz w:val="18"/>
          <w:szCs w:val="18"/>
          <w:lang w:val="en-US" w:eastAsia="zh-CN" w:bidi="ar-SA"/>
        </w:rPr>
        <w:t>《人民检察院公益诉讼办案规则》经2020年9月28日最高人民检察院第十三届检察委员会第五十二次会议通过，自2021年7月1日起施行。其中第四章为“民事公益诉讼</w:t>
      </w:r>
      <w:r>
        <w:rPr>
          <w:rFonts w:hint="eastAsia" w:ascii="Times New Roman" w:hAnsi="Times New Roman" w:cs="Cordia New (正文 CS 字体)"/>
          <w:kern w:val="2"/>
          <w:sz w:val="18"/>
          <w:szCs w:val="18"/>
          <w:lang w:val="en-US" w:eastAsia="zh-CN" w:bidi="ar-SA"/>
        </w:rPr>
        <w:t>”</w:t>
      </w:r>
      <w:r>
        <w:rPr>
          <w:rFonts w:hint="eastAsia" w:ascii="Times New Roman" w:hAnsi="Times New Roman" w:eastAsia="宋体" w:cs="Cordia New (正文 CS 字体)"/>
          <w:kern w:val="2"/>
          <w:sz w:val="18"/>
          <w:szCs w:val="18"/>
          <w:lang w:val="en-US" w:eastAsia="zh-CN" w:bidi="ar-SA"/>
        </w:rPr>
        <w:t>，对民事公益诉讼的立案、调查、公告、提起诉讼、支持起诉等内容进行了规定。</w:t>
      </w:r>
    </w:p>
    <w:p>
      <w:pPr>
        <w:pStyle w:val="6"/>
        <w:rPr>
          <w:rFonts w:hint="eastAsia" w:ascii="微软雅黑" w:hAnsi="微软雅黑" w:eastAsia="微软雅黑" w:cs="微软雅黑"/>
          <w:sz w:val="18"/>
          <w:szCs w:val="18"/>
        </w:rPr>
      </w:pPr>
    </w:p>
  </w:footnote>
  <w:footnote w:id="14">
    <w:p>
      <w:pPr>
        <w:pStyle w:val="4"/>
        <w:keepNext w:val="0"/>
        <w:keepLines w:val="0"/>
        <w:pageBreakBefore w:val="0"/>
        <w:widowControl/>
        <w:shd w:val="clear" w:color="auto" w:fill="FFFFFF"/>
        <w:kinsoku/>
        <w:wordWrap/>
        <w:overflowPunct/>
        <w:topLinePunct w:val="0"/>
        <w:autoSpaceDE/>
        <w:autoSpaceDN/>
        <w:bidi w:val="0"/>
        <w:adjustRightInd/>
        <w:snapToGrid w:val="0"/>
        <w:spacing w:beforeAutospacing="0" w:afterAutospacing="0" w:line="240" w:lineRule="auto"/>
        <w:ind w:firstLine="360" w:firstLineChars="200"/>
        <w:textAlignment w:val="auto"/>
        <w:rPr>
          <w:rFonts w:hint="eastAsia" w:ascii="Times New Roman" w:hAnsi="Times New Roman" w:eastAsia="宋体" w:cs="Cordia New (正文 CS 字体)"/>
          <w:b w:val="0"/>
          <w:bCs w:val="0"/>
          <w:kern w:val="2"/>
          <w:sz w:val="18"/>
          <w:szCs w:val="18"/>
          <w:lang w:val="en-US" w:eastAsia="zh-CN" w:bidi="ar-SA"/>
        </w:rPr>
      </w:pPr>
      <w:r>
        <w:rPr>
          <w:rStyle w:val="12"/>
          <w:rFonts w:hint="eastAsia" w:ascii="微软雅黑" w:hAnsi="微软雅黑" w:eastAsia="微软雅黑" w:cs="微软雅黑"/>
          <w:b w:val="0"/>
          <w:bCs w:val="0"/>
          <w:sz w:val="18"/>
          <w:szCs w:val="18"/>
        </w:rPr>
        <w:footnoteRef/>
      </w:r>
      <w:r>
        <w:rPr>
          <w:rFonts w:hint="eastAsia" w:ascii="微软雅黑" w:hAnsi="微软雅黑" w:eastAsia="微软雅黑" w:cs="微软雅黑"/>
          <w:sz w:val="18"/>
          <w:szCs w:val="18"/>
          <w:vertAlign w:val="superscript"/>
          <w:lang w:val="en-US" w:eastAsia="zh-CN"/>
        </w:rPr>
        <w:t>.</w:t>
      </w:r>
      <w:r>
        <w:rPr>
          <w:rFonts w:hint="eastAsia" w:ascii="Times New Roman" w:hAnsi="Times New Roman" w:eastAsia="宋体" w:cs="Cordia New (正文 CS 字体)"/>
          <w:b w:val="0"/>
          <w:bCs w:val="0"/>
          <w:kern w:val="2"/>
          <w:sz w:val="18"/>
          <w:szCs w:val="18"/>
          <w:lang w:val="en-US" w:eastAsia="zh-CN" w:bidi="ar-SA"/>
        </w:rPr>
        <w:t>蔡迪云、林峰：《香港公益诉讼制度概述</w:t>
      </w:r>
      <w:r>
        <w:rPr>
          <w:rFonts w:hint="eastAsia" w:ascii="Times New Roman" w:hAnsi="Times New Roman" w:cs="Cordia New (正文 CS 字体)"/>
          <w:b w:val="0"/>
          <w:bCs w:val="0"/>
          <w:kern w:val="2"/>
          <w:sz w:val="18"/>
          <w:szCs w:val="18"/>
          <w:lang w:val="en-US" w:eastAsia="zh-CN" w:bidi="ar-SA"/>
        </w:rPr>
        <w:t>》</w:t>
      </w:r>
      <w:r>
        <w:rPr>
          <w:rFonts w:hint="eastAsia" w:ascii="Times New Roman" w:hAnsi="Times New Roman" w:eastAsia="宋体" w:cs="Cordia New (正文 CS 字体)"/>
          <w:b w:val="0"/>
          <w:bCs w:val="0"/>
          <w:kern w:val="2"/>
          <w:sz w:val="18"/>
          <w:szCs w:val="18"/>
          <w:lang w:val="en-US" w:eastAsia="zh-CN" w:bidi="ar-SA"/>
        </w:rPr>
        <w:t>，载《</w:t>
      </w:r>
      <w:r>
        <w:rPr>
          <w:rFonts w:hint="eastAsia" w:ascii="Times New Roman" w:hAnsi="Times New Roman" w:eastAsia="宋体" w:cs="Cordia New (正文 CS 字体)"/>
          <w:b w:val="0"/>
          <w:bCs w:val="0"/>
          <w:kern w:val="2"/>
          <w:sz w:val="18"/>
          <w:szCs w:val="18"/>
          <w:lang w:val="en-US" w:eastAsia="zh-CN" w:bidi="ar-SA"/>
        </w:rPr>
        <w:fldChar w:fldCharType="begin"/>
      </w:r>
      <w:r>
        <w:rPr>
          <w:rFonts w:hint="eastAsia" w:ascii="Times New Roman" w:hAnsi="Times New Roman" w:eastAsia="宋体" w:cs="Cordia New (正文 CS 字体)"/>
          <w:b w:val="0"/>
          <w:bCs w:val="0"/>
          <w:kern w:val="2"/>
          <w:sz w:val="18"/>
          <w:szCs w:val="18"/>
          <w:lang w:val="en-US" w:eastAsia="zh-CN" w:bidi="ar-SA"/>
        </w:rPr>
        <w:instrText xml:space="preserve"> HYPERLINK "http://www.cnki.com.cn/Article/CJFDTotal-ZGFL201503023.htm" \t "https://www.so.com/_blank" </w:instrText>
      </w:r>
      <w:r>
        <w:rPr>
          <w:rFonts w:hint="eastAsia" w:ascii="Times New Roman" w:hAnsi="Times New Roman" w:eastAsia="宋体" w:cs="Cordia New (正文 CS 字体)"/>
          <w:b w:val="0"/>
          <w:bCs w:val="0"/>
          <w:kern w:val="2"/>
          <w:sz w:val="18"/>
          <w:szCs w:val="18"/>
          <w:lang w:val="en-US" w:eastAsia="zh-CN" w:bidi="ar-SA"/>
        </w:rPr>
        <w:fldChar w:fldCharType="separate"/>
      </w:r>
      <w:r>
        <w:rPr>
          <w:rFonts w:hint="eastAsia" w:ascii="Times New Roman" w:hAnsi="Times New Roman" w:eastAsia="宋体" w:cs="Cordia New (正文 CS 字体)"/>
          <w:b w:val="0"/>
          <w:bCs w:val="0"/>
          <w:kern w:val="2"/>
          <w:sz w:val="18"/>
          <w:szCs w:val="18"/>
          <w:lang w:val="en-US" w:eastAsia="zh-CN" w:bidi="ar-SA"/>
        </w:rPr>
        <w:t>中国法律》2015年03期</w:t>
      </w:r>
      <w:r>
        <w:rPr>
          <w:rFonts w:hint="eastAsia" w:ascii="Times New Roman" w:hAnsi="Times New Roman" w:eastAsia="宋体" w:cs="Cordia New (正文 CS 字体)"/>
          <w:b w:val="0"/>
          <w:bCs w:val="0"/>
          <w:kern w:val="2"/>
          <w:sz w:val="18"/>
          <w:szCs w:val="18"/>
          <w:lang w:val="en-US" w:eastAsia="zh-CN" w:bidi="ar-SA"/>
        </w:rPr>
        <w:fldChar w:fldCharType="end"/>
      </w:r>
      <w:r>
        <w:rPr>
          <w:rFonts w:hint="eastAsia" w:ascii="Times New Roman" w:hAnsi="Times New Roman" w:eastAsia="宋体" w:cs="Cordia New (正文 CS 字体)"/>
          <w:b w:val="0"/>
          <w:bCs w:val="0"/>
          <w:kern w:val="2"/>
          <w:sz w:val="18"/>
          <w:szCs w:val="18"/>
          <w:lang w:val="en-US" w:eastAsia="zh-CN" w:bidi="ar-SA"/>
        </w:rPr>
        <w:t>，第30页。</w:t>
      </w:r>
    </w:p>
  </w:footnote>
  <w:footnote w:id="15">
    <w:p>
      <w:pPr>
        <w:pStyle w:val="6"/>
        <w:keepNext w:val="0"/>
        <w:keepLines w:val="0"/>
        <w:pageBreakBefore w:val="0"/>
        <w:kinsoku/>
        <w:wordWrap/>
        <w:overflowPunct/>
        <w:topLinePunct w:val="0"/>
        <w:autoSpaceDE/>
        <w:autoSpaceDN/>
        <w:bidi w:val="0"/>
        <w:adjustRightInd/>
        <w:snapToGrid w:val="0"/>
        <w:spacing w:line="240" w:lineRule="auto"/>
        <w:ind w:firstLine="360" w:firstLineChars="200"/>
        <w:textAlignment w:val="auto"/>
        <w:rPr>
          <w:rFonts w:hint="eastAsia" w:ascii="微软雅黑" w:hAnsi="微软雅黑" w:eastAsia="微软雅黑" w:cs="微软雅黑"/>
          <w:kern w:val="0"/>
          <w:sz w:val="18"/>
          <w:szCs w:val="18"/>
          <w:shd w:val="clear" w:color="auto" w:fill="FFFFFF"/>
        </w:rPr>
      </w:pPr>
      <w:r>
        <w:rPr>
          <w:rStyle w:val="12"/>
          <w:rFonts w:hint="eastAsia" w:ascii="微软雅黑" w:hAnsi="微软雅黑" w:eastAsia="微软雅黑" w:cs="微软雅黑"/>
          <w:sz w:val="18"/>
          <w:szCs w:val="18"/>
        </w:rPr>
        <w:footnoteRef/>
      </w:r>
      <w:r>
        <w:t xml:space="preserve"> </w:t>
      </w:r>
      <w:r>
        <w:rPr>
          <w:rFonts w:hint="eastAsia" w:ascii="Times New Roman" w:hAnsi="Times New Roman" w:eastAsia="宋体" w:cs="Cordia New (正文 CS 字体)"/>
          <w:b w:val="0"/>
          <w:bCs w:val="0"/>
          <w:kern w:val="2"/>
          <w:sz w:val="18"/>
          <w:szCs w:val="18"/>
          <w:lang w:val="en-US" w:eastAsia="zh-CN" w:bidi="ar-SA"/>
        </w:rPr>
        <w:t>关于维多利亚港的填海计划，1998年，以保护海港协会为首的多个环保组织以团体的力量让政府审视填海工程的正确性。政府</w:t>
      </w:r>
      <w:r>
        <w:rPr>
          <w:rFonts w:hint="eastAsia" w:ascii="Times New Roman" w:hAnsi="Times New Roman" w:cs="Cordia New (正文 CS 字体)"/>
          <w:b w:val="0"/>
          <w:bCs w:val="0"/>
          <w:kern w:val="2"/>
          <w:sz w:val="18"/>
          <w:szCs w:val="18"/>
          <w:lang w:val="en-US" w:eastAsia="zh-CN" w:bidi="ar-SA"/>
        </w:rPr>
        <w:t>在一审</w:t>
      </w:r>
      <w:r>
        <w:rPr>
          <w:rFonts w:hint="eastAsia" w:ascii="Times New Roman" w:hAnsi="Times New Roman" w:eastAsia="宋体" w:cs="Cordia New (正文 CS 字体)"/>
          <w:b w:val="0"/>
          <w:bCs w:val="0"/>
          <w:kern w:val="2"/>
          <w:sz w:val="18"/>
          <w:szCs w:val="18"/>
          <w:lang w:val="en-US" w:eastAsia="zh-CN" w:bidi="ar-SA"/>
        </w:rPr>
        <w:t>败诉后上诉，</w:t>
      </w:r>
      <w:r>
        <w:rPr>
          <w:rFonts w:hint="eastAsia" w:ascii="Times New Roman" w:hAnsi="Times New Roman" w:cs="Cordia New (正文 CS 字体)"/>
          <w:b w:val="0"/>
          <w:bCs w:val="0"/>
          <w:kern w:val="2"/>
          <w:sz w:val="18"/>
          <w:szCs w:val="18"/>
          <w:lang w:val="en-US" w:eastAsia="zh-CN" w:bidi="ar-SA"/>
        </w:rPr>
        <w:t>上诉</w:t>
      </w:r>
      <w:r>
        <w:rPr>
          <w:rFonts w:hint="eastAsia" w:ascii="Times New Roman" w:hAnsi="Times New Roman" w:eastAsia="宋体" w:cs="Cordia New (正文 CS 字体)"/>
          <w:b w:val="0"/>
          <w:bCs w:val="0"/>
          <w:kern w:val="2"/>
          <w:sz w:val="18"/>
          <w:szCs w:val="18"/>
          <w:lang w:val="en-US" w:eastAsia="zh-CN" w:bidi="ar-SA"/>
        </w:rPr>
        <w:t>法院进行了改判。虽然环保组织最终败诉，但该填海工程引起了政府、环保组织的重视，政府最终成立了共建维港委员会，听取香港市民对填海工程的意见。</w:t>
      </w:r>
    </w:p>
  </w:footnote>
  <w:footnote w:id="16">
    <w:p>
      <w:pPr>
        <w:pStyle w:val="6"/>
        <w:keepNext w:val="0"/>
        <w:keepLines w:val="0"/>
        <w:pageBreakBefore w:val="0"/>
        <w:kinsoku/>
        <w:wordWrap/>
        <w:overflowPunct/>
        <w:topLinePunct w:val="0"/>
        <w:autoSpaceDE/>
        <w:autoSpaceDN/>
        <w:bidi w:val="0"/>
        <w:adjustRightInd/>
        <w:snapToGrid w:val="0"/>
        <w:spacing w:line="240" w:lineRule="auto"/>
        <w:ind w:firstLine="360" w:firstLineChars="200"/>
        <w:textAlignment w:val="auto"/>
        <w:rPr>
          <w:rFonts w:hint="eastAsia" w:ascii="Times New Roman" w:hAnsi="Times New Roman" w:eastAsia="宋体" w:cs="Cordia New (正文 CS 字体)"/>
          <w:b w:val="0"/>
          <w:bCs w:val="0"/>
          <w:kern w:val="2"/>
          <w:sz w:val="18"/>
          <w:szCs w:val="18"/>
          <w:lang w:val="en-US" w:eastAsia="zh-CN" w:bidi="ar-SA"/>
        </w:rPr>
      </w:pPr>
      <w:r>
        <w:rPr>
          <w:rStyle w:val="12"/>
          <w:rFonts w:hint="eastAsia" w:ascii="微软雅黑" w:hAnsi="微软雅黑" w:eastAsia="微软雅黑" w:cs="微软雅黑"/>
          <w:sz w:val="18"/>
          <w:szCs w:val="18"/>
        </w:rPr>
        <w:footnoteRef/>
      </w:r>
      <w:r>
        <w:t xml:space="preserve"> </w:t>
      </w:r>
      <w:r>
        <w:rPr>
          <w:rFonts w:hint="eastAsia" w:ascii="Times New Roman" w:hAnsi="Times New Roman" w:eastAsia="宋体" w:cs="Cordia New (正文 CS 字体)"/>
          <w:b w:val="0"/>
          <w:bCs w:val="0"/>
          <w:kern w:val="2"/>
          <w:sz w:val="18"/>
          <w:szCs w:val="18"/>
          <w:lang w:val="en-US" w:eastAsia="zh-CN" w:bidi="ar-SA"/>
        </w:rPr>
        <w:t>皇后码头拆迁案发生在2007年，两位香港市民向香港高等法院申请司法复合，要求推翻码头不属法定古迹的决定即禁致政府进行拆卸，结果这两位香港的本土行动者败诉，且未就皇后码头的司法复核</w:t>
      </w:r>
      <w:r>
        <w:rPr>
          <w:rFonts w:hint="eastAsia" w:ascii="Times New Roman" w:hAnsi="Times New Roman" w:cs="Cordia New (正文 CS 字体)"/>
          <w:b w:val="0"/>
          <w:bCs w:val="0"/>
          <w:kern w:val="2"/>
          <w:sz w:val="18"/>
          <w:szCs w:val="18"/>
          <w:lang w:val="en-US" w:eastAsia="zh-CN" w:bidi="ar-SA"/>
        </w:rPr>
        <w:t>结果</w:t>
      </w:r>
      <w:r>
        <w:rPr>
          <w:rFonts w:hint="eastAsia" w:ascii="Times New Roman" w:hAnsi="Times New Roman" w:eastAsia="宋体" w:cs="Cordia New (正文 CS 字体)"/>
          <w:b w:val="0"/>
          <w:bCs w:val="0"/>
          <w:kern w:val="2"/>
          <w:sz w:val="18"/>
          <w:szCs w:val="18"/>
          <w:lang w:val="en-US" w:eastAsia="zh-CN" w:bidi="ar-SA"/>
        </w:rPr>
        <w:t>申请上诉。</w:t>
      </w:r>
    </w:p>
  </w:footnote>
  <w:footnote w:id="17">
    <w:p>
      <w:pPr>
        <w:pStyle w:val="6"/>
        <w:keepNext w:val="0"/>
        <w:keepLines w:val="0"/>
        <w:pageBreakBefore w:val="0"/>
        <w:kinsoku/>
        <w:wordWrap/>
        <w:overflowPunct/>
        <w:topLinePunct w:val="0"/>
        <w:autoSpaceDE/>
        <w:autoSpaceDN/>
        <w:bidi w:val="0"/>
        <w:adjustRightInd/>
        <w:snapToGrid w:val="0"/>
        <w:spacing w:line="240" w:lineRule="auto"/>
        <w:ind w:firstLine="360" w:firstLineChars="200"/>
        <w:textAlignment w:val="auto"/>
        <w:rPr>
          <w:rFonts w:hint="eastAsia" w:ascii="Times New Roman" w:hAnsi="Times New Roman" w:eastAsia="宋体" w:cs="Cordia New (正文 CS 字体)"/>
          <w:b w:val="0"/>
          <w:bCs w:val="0"/>
          <w:kern w:val="2"/>
          <w:sz w:val="18"/>
          <w:szCs w:val="18"/>
          <w:lang w:val="en-US" w:eastAsia="zh-CN" w:bidi="ar-SA"/>
        </w:rPr>
      </w:pPr>
      <w:r>
        <w:rPr>
          <w:rStyle w:val="12"/>
          <w:rFonts w:hint="eastAsia" w:ascii="微软雅黑" w:hAnsi="微软雅黑" w:eastAsia="微软雅黑" w:cs="微软雅黑"/>
          <w:sz w:val="18"/>
          <w:szCs w:val="18"/>
        </w:rPr>
        <w:footnoteRef/>
      </w:r>
      <w:r>
        <w:t xml:space="preserve"> </w:t>
      </w:r>
      <w:r>
        <w:rPr>
          <w:rFonts w:hint="eastAsia" w:ascii="Times New Roman" w:hAnsi="Times New Roman" w:eastAsia="宋体" w:cs="Cordia New (正文 CS 字体)"/>
          <w:b w:val="0"/>
          <w:bCs w:val="0"/>
          <w:kern w:val="2"/>
          <w:sz w:val="18"/>
          <w:szCs w:val="18"/>
          <w:lang w:val="en-US" w:eastAsia="zh-CN" w:bidi="ar-SA"/>
        </w:rPr>
        <w:t>参见中国新闻网WWW.CHINANEWS.COM于2007年8月27日发布的《保“皇后”败诉本土行动靠考虑多因素后放弃上诉》</w:t>
      </w:r>
      <w:r>
        <w:rPr>
          <w:rFonts w:hint="eastAsia" w:ascii="Times New Roman" w:hAnsi="Times New Roman" w:cs="Cordia New (正文 CS 字体)"/>
          <w:b w:val="0"/>
          <w:bCs w:val="0"/>
          <w:kern w:val="2"/>
          <w:sz w:val="18"/>
          <w:szCs w:val="18"/>
          <w:lang w:val="en-US" w:eastAsia="zh-CN" w:bidi="ar-SA"/>
        </w:rPr>
        <w:t>一文</w:t>
      </w:r>
      <w:r>
        <w:rPr>
          <w:rFonts w:hint="eastAsia" w:ascii="Times New Roman" w:hAnsi="Times New Roman" w:eastAsia="宋体" w:cs="Cordia New (正文 CS 字体)"/>
          <w:b w:val="0"/>
          <w:bCs w:val="0"/>
          <w:kern w:val="2"/>
          <w:sz w:val="18"/>
          <w:szCs w:val="18"/>
          <w:lang w:val="en-US" w:eastAsia="zh-CN" w:bidi="ar-SA"/>
        </w:rPr>
        <w:t>。</w:t>
      </w:r>
    </w:p>
  </w:footnote>
  <w:footnote w:id="18">
    <w:p>
      <w:pPr>
        <w:pStyle w:val="6"/>
        <w:keepNext w:val="0"/>
        <w:keepLines w:val="0"/>
        <w:pageBreakBefore w:val="0"/>
        <w:kinsoku/>
        <w:wordWrap/>
        <w:overflowPunct/>
        <w:topLinePunct w:val="0"/>
        <w:autoSpaceDE/>
        <w:autoSpaceDN/>
        <w:bidi w:val="0"/>
        <w:adjustRightInd/>
        <w:snapToGrid w:val="0"/>
        <w:spacing w:line="240" w:lineRule="auto"/>
        <w:ind w:firstLine="360" w:firstLineChars="200"/>
        <w:rPr>
          <w:rFonts w:hint="eastAsia" w:ascii="微软雅黑" w:hAnsi="微软雅黑" w:eastAsia="微软雅黑" w:cs="微软雅黑"/>
          <w:sz w:val="18"/>
          <w:szCs w:val="18"/>
        </w:rPr>
      </w:pPr>
      <w:r>
        <w:rPr>
          <w:rStyle w:val="12"/>
          <w:rFonts w:hint="eastAsia" w:ascii="微软雅黑" w:hAnsi="微软雅黑" w:eastAsia="微软雅黑" w:cs="微软雅黑"/>
          <w:sz w:val="18"/>
          <w:szCs w:val="18"/>
        </w:rPr>
        <w:footnoteRef/>
      </w:r>
      <w:r>
        <w:t xml:space="preserve"> </w:t>
      </w:r>
      <w:r>
        <w:rPr>
          <w:rFonts w:hint="eastAsia" w:ascii="Times New Roman" w:hAnsi="Times New Roman" w:eastAsia="宋体" w:cs="Cordia New (正文 CS 字体)"/>
          <w:b w:val="0"/>
          <w:bCs w:val="0"/>
          <w:kern w:val="2"/>
          <w:sz w:val="18"/>
          <w:szCs w:val="18"/>
          <w:lang w:val="en-US" w:eastAsia="zh-CN" w:bidi="ar-SA"/>
        </w:rPr>
        <w:t>如，《公众卫生及市政条例》第51条第（5）项系关于奶粉掺杂的规定，符合该项的类型就属于犯罪。</w:t>
      </w:r>
    </w:p>
  </w:footnote>
  <w:footnote w:id="19">
    <w:p>
      <w:pPr>
        <w:keepNext w:val="0"/>
        <w:keepLines w:val="0"/>
        <w:pageBreakBefore w:val="0"/>
        <w:widowControl/>
        <w:shd w:val="clear" w:color="auto" w:fill="FFFFFF"/>
        <w:kinsoku/>
        <w:wordWrap/>
        <w:overflowPunct/>
        <w:topLinePunct w:val="0"/>
        <w:autoSpaceDE/>
        <w:autoSpaceDN/>
        <w:bidi w:val="0"/>
        <w:adjustRightInd/>
        <w:snapToGrid w:val="0"/>
        <w:spacing w:line="240" w:lineRule="auto"/>
        <w:ind w:firstLine="360" w:firstLineChars="200"/>
        <w:textAlignment w:val="top"/>
        <w:rPr>
          <w:rFonts w:hint="eastAsia" w:ascii="Times New Roman" w:hAnsi="Times New Roman" w:eastAsia="宋体" w:cs="Cordia New (正文 CS 字体)"/>
          <w:b w:val="0"/>
          <w:bCs w:val="0"/>
          <w:kern w:val="2"/>
          <w:sz w:val="18"/>
          <w:szCs w:val="18"/>
          <w:lang w:val="en-US" w:eastAsia="zh-CN" w:bidi="ar-SA"/>
        </w:rPr>
      </w:pPr>
      <w:r>
        <w:rPr>
          <w:rStyle w:val="12"/>
          <w:rFonts w:hint="eastAsia" w:ascii="微软雅黑" w:hAnsi="微软雅黑" w:eastAsia="微软雅黑" w:cs="微软雅黑"/>
          <w:sz w:val="18"/>
          <w:szCs w:val="18"/>
        </w:rPr>
        <w:footnoteRef/>
      </w:r>
      <w:r>
        <w:t xml:space="preserve"> </w:t>
      </w:r>
      <w:r>
        <w:rPr>
          <w:rFonts w:hint="eastAsia" w:ascii="Times New Roman" w:hAnsi="Times New Roman" w:eastAsia="宋体" w:cs="Cordia New (正文 CS 字体)"/>
          <w:b w:val="0"/>
          <w:bCs w:val="0"/>
          <w:kern w:val="2"/>
          <w:sz w:val="18"/>
          <w:szCs w:val="18"/>
          <w:lang w:val="en-US" w:eastAsia="zh-CN" w:bidi="ar-SA"/>
        </w:rPr>
        <w:t>《消費者委員會條例》5.委員會的權力（1）委員會可作出任何使其能執行職能而合理需要的事情。</w:t>
      </w:r>
    </w:p>
    <w:p>
      <w:pPr>
        <w:keepNext w:val="0"/>
        <w:keepLines w:val="0"/>
        <w:pageBreakBefore w:val="0"/>
        <w:widowControl/>
        <w:shd w:val="clear" w:color="auto" w:fill="FFFFFF"/>
        <w:kinsoku/>
        <w:wordWrap/>
        <w:overflowPunct/>
        <w:topLinePunct w:val="0"/>
        <w:autoSpaceDE/>
        <w:autoSpaceDN/>
        <w:bidi w:val="0"/>
        <w:adjustRightInd/>
        <w:snapToGrid w:val="0"/>
        <w:spacing w:line="240" w:lineRule="auto"/>
        <w:textAlignment w:val="top"/>
        <w:rPr>
          <w:rFonts w:hint="eastAsia" w:ascii="Times New Roman" w:hAnsi="Times New Roman" w:eastAsia="宋体" w:cs="Cordia New (正文 CS 字体)"/>
          <w:b w:val="0"/>
          <w:bCs w:val="0"/>
          <w:kern w:val="2"/>
          <w:sz w:val="18"/>
          <w:szCs w:val="18"/>
          <w:lang w:val="en-US" w:eastAsia="zh-CN" w:bidi="ar-SA"/>
        </w:rPr>
      </w:pPr>
      <w:r>
        <w:rPr>
          <w:rFonts w:hint="eastAsia" w:ascii="Times New Roman" w:hAnsi="Times New Roman" w:eastAsia="宋体" w:cs="Cordia New (正文 CS 字体)"/>
          <w:b w:val="0"/>
          <w:bCs w:val="0"/>
          <w:kern w:val="2"/>
          <w:sz w:val="18"/>
          <w:szCs w:val="18"/>
          <w:lang w:val="en-US" w:eastAsia="zh-CN" w:bidi="ar-SA"/>
        </w:rPr>
        <w:t xml:space="preserve">(2)在不限制第(1)款的概括性的原則下，委員會在執行其職能時可——(a)以其認為適當的方式取得、持有及處置各類動產及不動產；(b)訂立任何合約；(c)對貨品及服務進行測試及檢驗，以及對不動產作出檢查；(由1992年第5號第3條修訂)(d)製作或以售賣或其他方式分發消費者感興趣的刊物；(e)與他人聯同或合作進行該會根據本條例可進行的事情，或贊助他人進行該事情；(f)就使用委員會所提供的任何設施或服務收取費用；(g)在獲得行政長官事先批准下，加入任何關注消費者事務的國際組織成為會員或附屬會員。 </w:t>
      </w:r>
    </w:p>
  </w:footnote>
  <w:footnote w:id="20">
    <w:p>
      <w:pPr>
        <w:keepNext w:val="0"/>
        <w:keepLines w:val="0"/>
        <w:pageBreakBefore w:val="0"/>
        <w:widowControl/>
        <w:shd w:val="clear" w:color="auto" w:fill="FFFFFF"/>
        <w:kinsoku/>
        <w:wordWrap/>
        <w:overflowPunct/>
        <w:topLinePunct w:val="0"/>
        <w:autoSpaceDE/>
        <w:autoSpaceDN/>
        <w:bidi w:val="0"/>
        <w:adjustRightInd/>
        <w:snapToGrid w:val="0"/>
        <w:spacing w:line="240" w:lineRule="auto"/>
        <w:ind w:firstLine="360" w:firstLineChars="200"/>
        <w:textAlignment w:val="top"/>
        <w:rPr>
          <w:rFonts w:hint="eastAsia" w:ascii="Times New Roman" w:hAnsi="Times New Roman" w:eastAsia="宋体" w:cs="Cordia New (正文 CS 字体)"/>
          <w:b w:val="0"/>
          <w:bCs w:val="0"/>
          <w:kern w:val="2"/>
          <w:sz w:val="18"/>
          <w:szCs w:val="18"/>
          <w:lang w:val="en-US" w:eastAsia="zh-CN" w:bidi="ar-SA"/>
        </w:rPr>
      </w:pPr>
      <w:r>
        <w:rPr>
          <w:rStyle w:val="12"/>
          <w:rFonts w:hint="eastAsia" w:ascii="微软雅黑" w:hAnsi="微软雅黑" w:eastAsia="微软雅黑" w:cs="微软雅黑"/>
          <w:sz w:val="18"/>
          <w:szCs w:val="18"/>
        </w:rPr>
        <w:footnoteRef/>
      </w:r>
      <w:r>
        <w:t xml:space="preserve"> </w:t>
      </w:r>
      <w:r>
        <w:rPr>
          <w:rFonts w:hint="eastAsia" w:ascii="Times New Roman" w:hAnsi="Times New Roman" w:eastAsia="宋体" w:cs="Cordia New (正文 CS 字体)"/>
          <w:b w:val="0"/>
          <w:bCs w:val="0"/>
          <w:kern w:val="2"/>
          <w:sz w:val="18"/>
          <w:szCs w:val="18"/>
          <w:lang w:val="en-US" w:eastAsia="zh-CN" w:bidi="ar-SA"/>
        </w:rPr>
        <w:t>《消費者委員會條例》18.行政長官可給予指示(1)行政長官如認為為公眾利益而有此需要，可就委員會根據本條例行使及執行其權力、職能或職責方面，概括地或就任何特定情況，向該會發出他認為適當的指示。(2)委員會須遵從行政長官根據第(1)款向該會發出的指示。(由2000年第66號第3條修訂)</w:t>
      </w:r>
    </w:p>
  </w:footnote>
  <w:footnote w:id="21">
    <w:p>
      <w:pPr>
        <w:keepNext w:val="0"/>
        <w:keepLines w:val="0"/>
        <w:pageBreakBefore w:val="0"/>
        <w:widowControl/>
        <w:shd w:val="clear" w:color="auto" w:fill="FFFFFF"/>
        <w:kinsoku/>
        <w:wordWrap/>
        <w:overflowPunct/>
        <w:topLinePunct w:val="0"/>
        <w:autoSpaceDE/>
        <w:autoSpaceDN/>
        <w:bidi w:val="0"/>
        <w:adjustRightInd/>
        <w:snapToGrid w:val="0"/>
        <w:spacing w:line="240" w:lineRule="auto"/>
        <w:ind w:firstLine="360" w:firstLineChars="200"/>
        <w:textAlignment w:val="top"/>
        <w:rPr>
          <w:rFonts w:hint="eastAsia" w:ascii="Times New Roman" w:hAnsi="Times New Roman" w:eastAsia="宋体" w:cs="Cordia New (正文 CS 字体)"/>
          <w:b w:val="0"/>
          <w:bCs w:val="0"/>
          <w:kern w:val="2"/>
          <w:sz w:val="18"/>
          <w:szCs w:val="18"/>
          <w:lang w:val="en-US" w:eastAsia="zh-CN" w:bidi="ar-SA"/>
        </w:rPr>
      </w:pPr>
      <w:r>
        <w:rPr>
          <w:rFonts w:hint="eastAsia" w:ascii="微软雅黑" w:hAnsi="微软雅黑" w:eastAsia="微软雅黑" w:cs="微软雅黑"/>
          <w:sz w:val="18"/>
          <w:szCs w:val="18"/>
          <w:vertAlign w:val="superscript"/>
        </w:rPr>
        <w:footnoteRef/>
      </w:r>
      <w:r>
        <w:t xml:space="preserve"> </w:t>
      </w:r>
      <w:r>
        <w:rPr>
          <w:rFonts w:hint="eastAsia" w:ascii="Times New Roman" w:hAnsi="Times New Roman" w:eastAsia="宋体" w:cs="Cordia New (正文 CS 字体)"/>
          <w:b w:val="0"/>
          <w:bCs w:val="0"/>
          <w:kern w:val="2"/>
          <w:sz w:val="18"/>
          <w:szCs w:val="18"/>
          <w:lang w:val="en-US" w:eastAsia="zh-CN" w:bidi="ar-SA"/>
        </w:rPr>
        <w:t>参见中华人民共和国中央人民政府网www.gov.cn 于2006年4月30日发布的《港、澳、台司法制度简介》一文。</w:t>
      </w:r>
    </w:p>
  </w:footnote>
  <w:footnote w:id="22">
    <w:p>
      <w:pPr>
        <w:pStyle w:val="6"/>
        <w:keepNext w:val="0"/>
        <w:keepLines w:val="0"/>
        <w:pageBreakBefore w:val="0"/>
        <w:kinsoku/>
        <w:wordWrap/>
        <w:overflowPunct/>
        <w:topLinePunct w:val="0"/>
        <w:autoSpaceDE/>
        <w:autoSpaceDN/>
        <w:bidi w:val="0"/>
        <w:adjustRightInd/>
        <w:snapToGrid w:val="0"/>
        <w:spacing w:line="240" w:lineRule="auto"/>
        <w:ind w:firstLine="360" w:firstLineChars="200"/>
        <w:rPr>
          <w:rFonts w:hint="eastAsia" w:ascii="Times New Roman" w:hAnsi="Times New Roman" w:eastAsia="宋体" w:cs="Cordia New (正文 CS 字体)"/>
          <w:b w:val="0"/>
          <w:bCs w:val="0"/>
          <w:kern w:val="2"/>
          <w:sz w:val="18"/>
          <w:szCs w:val="18"/>
          <w:lang w:val="en-US" w:eastAsia="zh-CN" w:bidi="ar-SA"/>
        </w:rPr>
      </w:pPr>
      <w:r>
        <w:rPr>
          <w:rStyle w:val="12"/>
          <w:rFonts w:hint="eastAsia" w:ascii="微软雅黑" w:hAnsi="微软雅黑" w:eastAsia="微软雅黑" w:cs="微软雅黑"/>
          <w:sz w:val="18"/>
          <w:szCs w:val="18"/>
        </w:rPr>
        <w:footnoteRef/>
      </w:r>
      <w:r>
        <w:t xml:space="preserve"> </w:t>
      </w:r>
      <w:r>
        <w:rPr>
          <w:rFonts w:hint="eastAsia" w:ascii="Times New Roman" w:hAnsi="Times New Roman" w:eastAsia="宋体" w:cs="Cordia New (正文 CS 字体)"/>
          <w:b w:val="0"/>
          <w:bCs w:val="0"/>
          <w:kern w:val="2"/>
          <w:sz w:val="18"/>
          <w:szCs w:val="18"/>
          <w:lang w:val="en-US" w:eastAsia="zh-CN" w:bidi="ar-SA"/>
        </w:rPr>
        <w:t>葡萄牙在1995年的第83/95号法律重新构建了民众诉讼。葡萄牙的民众诉讼需先听取检察院的意见，并</w:t>
      </w:r>
      <w:r>
        <w:rPr>
          <w:rFonts w:hint="eastAsia" w:ascii="Times New Roman" w:hAnsi="Times New Roman" w:cs="Cordia New (正文 CS 字体)"/>
          <w:b w:val="0"/>
          <w:bCs w:val="0"/>
          <w:kern w:val="2"/>
          <w:sz w:val="18"/>
          <w:szCs w:val="18"/>
          <w:lang w:val="en-US" w:eastAsia="zh-CN" w:bidi="ar-SA"/>
        </w:rPr>
        <w:t>有</w:t>
      </w:r>
      <w:r>
        <w:rPr>
          <w:rFonts w:hint="eastAsia" w:ascii="Times New Roman" w:hAnsi="Times New Roman" w:eastAsia="宋体" w:cs="Cordia New (正文 CS 字体)"/>
          <w:b w:val="0"/>
          <w:bCs w:val="0"/>
          <w:kern w:val="2"/>
          <w:sz w:val="18"/>
          <w:szCs w:val="18"/>
          <w:lang w:val="en-US" w:eastAsia="zh-CN" w:bidi="ar-SA"/>
        </w:rPr>
        <w:t>初步的调查。因为民众诉讼的案件可能涉及到众多或者无数人的权利遭受侵害，所以传统的联合或者共同诉讼难以处理或不适用。关于原告，社团即财团可以成为原告，但必须具备法人人格等及其会章所载宗旨包括起诉旨在维护的利益。检察院在民众诉讼中的角色则体现在：代理作为当事人的国家、失踪人、未成年人及其他无</w:t>
      </w:r>
      <w:r>
        <w:rPr>
          <w:rFonts w:hint="eastAsia" w:ascii="Times New Roman" w:hAnsi="Times New Roman" w:cs="Cordia New (正文 CS 字体)"/>
          <w:b w:val="0"/>
          <w:bCs w:val="0"/>
          <w:kern w:val="2"/>
          <w:sz w:val="18"/>
          <w:szCs w:val="18"/>
          <w:lang w:val="en-US" w:eastAsia="zh-CN" w:bidi="ar-SA"/>
        </w:rPr>
        <w:t>行为</w:t>
      </w:r>
      <w:r>
        <w:rPr>
          <w:rFonts w:hint="eastAsia" w:ascii="Times New Roman" w:hAnsi="Times New Roman" w:eastAsia="宋体" w:cs="Cordia New (正文 CS 字体)"/>
          <w:b w:val="0"/>
          <w:bCs w:val="0"/>
          <w:kern w:val="2"/>
          <w:sz w:val="18"/>
          <w:szCs w:val="18"/>
          <w:lang w:val="en-US" w:eastAsia="zh-CN" w:bidi="ar-SA"/>
        </w:rPr>
        <w:t>能力人、负有监督民众诉讼进程中的合法性、可替代撤诉、和解或</w:t>
      </w:r>
      <w:r>
        <w:rPr>
          <w:rFonts w:hint="eastAsia" w:ascii="Times New Roman" w:hAnsi="Times New Roman" w:cs="Cordia New (正文 CS 字体)"/>
          <w:b w:val="0"/>
          <w:bCs w:val="0"/>
          <w:kern w:val="2"/>
          <w:sz w:val="18"/>
          <w:szCs w:val="18"/>
          <w:lang w:val="en-US" w:eastAsia="zh-CN" w:bidi="ar-SA"/>
        </w:rPr>
        <w:t>行为</w:t>
      </w:r>
      <w:r>
        <w:rPr>
          <w:rFonts w:hint="eastAsia" w:ascii="Times New Roman" w:hAnsi="Times New Roman" w:eastAsia="宋体" w:cs="Cordia New (正文 CS 字体)"/>
          <w:b w:val="0"/>
          <w:bCs w:val="0"/>
          <w:kern w:val="2"/>
          <w:sz w:val="18"/>
          <w:szCs w:val="18"/>
          <w:lang w:val="en-US" w:eastAsia="zh-CN" w:bidi="ar-SA"/>
        </w:rPr>
        <w:t>有害系争利益的原告。</w:t>
      </w:r>
    </w:p>
  </w:footnote>
  <w:footnote w:id="23">
    <w:p>
      <w:pPr>
        <w:keepNext w:val="0"/>
        <w:keepLines w:val="0"/>
        <w:pageBreakBefore w:val="0"/>
        <w:widowControl w:val="0"/>
        <w:kinsoku/>
        <w:wordWrap/>
        <w:overflowPunct/>
        <w:topLinePunct w:val="0"/>
        <w:autoSpaceDE/>
        <w:autoSpaceDN/>
        <w:bidi w:val="0"/>
        <w:adjustRightInd/>
        <w:snapToGrid w:val="0"/>
        <w:ind w:firstLine="360" w:firstLineChars="200"/>
        <w:textAlignment w:val="auto"/>
        <w:rPr>
          <w:rFonts w:hint="eastAsia" w:ascii="Times New Roman" w:hAnsi="Times New Roman" w:eastAsia="宋体" w:cs="Cordia New (正文 CS 字体)"/>
          <w:b w:val="0"/>
          <w:bCs w:val="0"/>
          <w:kern w:val="2"/>
          <w:sz w:val="18"/>
          <w:szCs w:val="18"/>
          <w:lang w:val="en-US" w:eastAsia="zh-CN" w:bidi="ar-SA"/>
        </w:rPr>
      </w:pPr>
      <w:r>
        <w:rPr>
          <w:rFonts w:hint="eastAsia" w:ascii="Times New Roman" w:hAnsi="Times New Roman" w:eastAsia="宋体" w:cs="Cordia New (正文 CS 字体)"/>
          <w:b w:val="0"/>
          <w:bCs w:val="0"/>
          <w:kern w:val="2"/>
          <w:sz w:val="18"/>
          <w:szCs w:val="18"/>
          <w:vertAlign w:val="superscript"/>
          <w:lang w:val="en-US" w:eastAsia="zh-CN" w:bidi="ar-SA"/>
        </w:rPr>
        <w:footnoteRef/>
      </w:r>
      <w:r>
        <w:t xml:space="preserve"> </w:t>
      </w:r>
      <w:r>
        <w:rPr>
          <w:rFonts w:hint="eastAsia" w:ascii="Times New Roman" w:hAnsi="Times New Roman" w:eastAsia="宋体" w:cs="Cordia New (正文 CS 字体)"/>
          <w:b w:val="0"/>
          <w:bCs w:val="0"/>
          <w:kern w:val="2"/>
          <w:sz w:val="18"/>
          <w:szCs w:val="18"/>
          <w:lang w:val="en-US" w:eastAsia="zh-CN" w:bidi="ar-SA"/>
        </w:rPr>
        <w:t>如</w:t>
      </w:r>
      <w:r>
        <w:rPr>
          <w:rFonts w:hint="eastAsia" w:ascii="Times New Roman" w:hAnsi="Times New Roman" w:cs="Cordia New (正文 CS 字体)"/>
          <w:b w:val="0"/>
          <w:bCs w:val="0"/>
          <w:kern w:val="2"/>
          <w:sz w:val="18"/>
          <w:szCs w:val="18"/>
          <w:lang w:val="en-US" w:eastAsia="zh-CN" w:bidi="ar-SA"/>
        </w:rPr>
        <w:t>，</w:t>
      </w:r>
      <w:r>
        <w:rPr>
          <w:rFonts w:hint="eastAsia" w:ascii="Times New Roman" w:hAnsi="Times New Roman" w:eastAsia="宋体" w:cs="Cordia New (正文 CS 字体)"/>
          <w:b w:val="0"/>
          <w:bCs w:val="0"/>
          <w:kern w:val="2"/>
          <w:sz w:val="18"/>
          <w:szCs w:val="18"/>
          <w:lang w:val="en-US" w:eastAsia="zh-CN" w:bidi="ar-SA"/>
        </w:rPr>
        <w:t>中共中央国务院印发的《全面深化前海深港现代服务业合作区改革开放方案》、中共中央国务院印发的《横琴粤港澳深度合作区建设总体方案》、最高人民检察院</w:t>
      </w:r>
      <w:r>
        <w:rPr>
          <w:rFonts w:hint="eastAsia" w:ascii="Times New Roman" w:hAnsi="Times New Roman" w:cs="Cordia New (正文 CS 字体)"/>
          <w:b w:val="0"/>
          <w:bCs w:val="0"/>
          <w:kern w:val="2"/>
          <w:sz w:val="18"/>
          <w:szCs w:val="18"/>
          <w:lang w:val="en-US" w:eastAsia="zh-CN" w:bidi="ar-SA"/>
        </w:rPr>
        <w:t>《</w:t>
      </w:r>
      <w:r>
        <w:rPr>
          <w:rFonts w:hint="eastAsia" w:ascii="Times New Roman" w:hAnsi="Times New Roman" w:eastAsia="宋体" w:cs="Cordia New (正文 CS 字体)"/>
          <w:b w:val="0"/>
          <w:bCs w:val="0"/>
          <w:kern w:val="2"/>
          <w:sz w:val="18"/>
          <w:szCs w:val="18"/>
          <w:lang w:val="en-US" w:eastAsia="zh-CN" w:bidi="ar-SA"/>
        </w:rPr>
        <w:t>关于服务保障横琴深度合作区建设的工作方案》、国务院《关于印发广州南沙深化面向世界的粤港澳全面合作总体方案的通知》等。</w:t>
      </w:r>
    </w:p>
  </w:footnote>
  <w:footnote w:id="24">
    <w:p>
      <w:pPr>
        <w:pStyle w:val="6"/>
        <w:keepNext w:val="0"/>
        <w:keepLines w:val="0"/>
        <w:pageBreakBefore w:val="0"/>
        <w:widowControl w:val="0"/>
        <w:kinsoku/>
        <w:wordWrap/>
        <w:overflowPunct/>
        <w:topLinePunct w:val="0"/>
        <w:autoSpaceDE/>
        <w:autoSpaceDN/>
        <w:bidi w:val="0"/>
        <w:adjustRightInd/>
        <w:snapToGrid w:val="0"/>
        <w:ind w:firstLine="360" w:firstLineChars="200"/>
        <w:textAlignment w:val="auto"/>
        <w:rPr>
          <w:rFonts w:hint="default" w:ascii="Times New Roman" w:hAnsi="Times New Roman" w:eastAsia="宋体" w:cs="Cordia New (正文 CS 字体)"/>
          <w:b w:val="0"/>
          <w:bCs w:val="0"/>
          <w:kern w:val="2"/>
          <w:sz w:val="18"/>
          <w:szCs w:val="18"/>
          <w:lang w:val="en-US" w:eastAsia="zh-CN" w:bidi="ar-SA"/>
        </w:rPr>
      </w:pPr>
      <w:r>
        <w:rPr>
          <w:rFonts w:hint="eastAsia" w:ascii="Times New Roman" w:hAnsi="Times New Roman" w:eastAsia="宋体" w:cs="Cordia New (正文 CS 字体)"/>
          <w:b w:val="0"/>
          <w:bCs w:val="0"/>
          <w:kern w:val="2"/>
          <w:sz w:val="18"/>
          <w:szCs w:val="18"/>
          <w:vertAlign w:val="superscript"/>
          <w:lang w:val="en-US" w:eastAsia="zh-CN" w:bidi="ar-SA"/>
        </w:rPr>
        <w:footnoteRef/>
      </w:r>
      <w:r>
        <w:rPr>
          <w:rFonts w:hint="default" w:ascii="Times New Roman" w:hAnsi="Times New Roman" w:eastAsia="宋体" w:cs="Cordia New (正文 CS 字体)"/>
          <w:b w:val="0"/>
          <w:bCs w:val="0"/>
          <w:kern w:val="2"/>
          <w:sz w:val="18"/>
          <w:szCs w:val="18"/>
          <w:vertAlign w:val="superscript"/>
          <w:lang w:val="en-US" w:eastAsia="zh-CN" w:bidi="ar-SA"/>
        </w:rPr>
        <w:t xml:space="preserve"> </w:t>
      </w:r>
      <w:r>
        <w:rPr>
          <w:rFonts w:hint="eastAsia" w:ascii="Times New Roman" w:hAnsi="Times New Roman" w:eastAsia="宋体" w:cs="Cordia New (正文 CS 字体)"/>
          <w:b w:val="0"/>
          <w:bCs w:val="0"/>
          <w:kern w:val="2"/>
          <w:sz w:val="18"/>
          <w:szCs w:val="18"/>
          <w:lang w:val="en-US" w:eastAsia="zh-CN" w:bidi="ar-SA"/>
        </w:rPr>
        <w:t>参见广东省人民检察院微信公众号“广东检察”2022年7月7日发表的《湾区公益检察守护——共建共护》</w:t>
      </w:r>
      <w:r>
        <w:rPr>
          <w:rFonts w:hint="eastAsia" w:ascii="Times New Roman" w:hAnsi="Times New Roman" w:cs="Cordia New (正文 CS 字体)"/>
          <w:b w:val="0"/>
          <w:bCs w:val="0"/>
          <w:kern w:val="2"/>
          <w:sz w:val="18"/>
          <w:szCs w:val="18"/>
          <w:lang w:val="en-US" w:eastAsia="zh-CN" w:bidi="ar-SA"/>
        </w:rPr>
        <w:t>一文。</w:t>
      </w:r>
    </w:p>
  </w:footnote>
  <w:footnote w:id="25">
    <w:p>
      <w:pPr>
        <w:pStyle w:val="6"/>
        <w:keepNext w:val="0"/>
        <w:keepLines w:val="0"/>
        <w:pageBreakBefore w:val="0"/>
        <w:widowControl w:val="0"/>
        <w:kinsoku/>
        <w:wordWrap/>
        <w:overflowPunct/>
        <w:topLinePunct w:val="0"/>
        <w:autoSpaceDE/>
        <w:autoSpaceDN/>
        <w:bidi w:val="0"/>
        <w:adjustRightInd/>
        <w:snapToGrid w:val="0"/>
        <w:ind w:firstLine="360" w:firstLineChars="200"/>
        <w:textAlignment w:val="auto"/>
        <w:rPr>
          <w:rFonts w:hint="eastAsia"/>
          <w:lang w:val="en-US" w:eastAsia="zh-CN"/>
        </w:rPr>
      </w:pPr>
      <w:r>
        <w:rPr>
          <w:rStyle w:val="12"/>
          <w:rFonts w:hint="eastAsia" w:ascii="微软雅黑" w:hAnsi="微软雅黑" w:eastAsia="微软雅黑" w:cs="微软雅黑"/>
          <w:sz w:val="18"/>
          <w:szCs w:val="18"/>
        </w:rPr>
        <w:footnoteRef/>
      </w:r>
      <w:r>
        <w:rPr>
          <w:rFonts w:hint="default"/>
          <w:lang w:val="en-US"/>
        </w:rPr>
        <w:t xml:space="preserve"> </w:t>
      </w:r>
      <w:r>
        <w:rPr>
          <w:rFonts w:hint="eastAsia"/>
          <w:lang w:val="en-US" w:eastAsia="zh-CN"/>
        </w:rPr>
        <w:t>案例信息来源于广州海事法院官方微信公众号于2021年2月24日发布的《广州还是法院一审宣判一起涉粤港澳大湾区污染海洋环境民事公益诉讼案》一文。具体如下，温某等五人倾倒垃圾粤港澳大湾区污染环境民事公益诉讼案，广州海事是法院判决：被告温某、崔某、李某连带赔偿恢复费用、检测费、鉴定费、律师代理费、船舶保管费、钩机吊车费及运费、垃圾清运处理费等合计2049119.45元，被告甘某在前6项费用总额85.54%的范围内承担连带赔偿责任，以上款项由原告收领后向国库账户缴纳，恢复费用用于修复被损害的生态环境；被告温某、崔某、李某、甘某于判决发生法律效力之日起十五日内共同向社会公众公开赔礼道歉，即在指定报刊上公开刊登道歉公告，公告费用由上述四被告共同承担；驳回原告的其他诉讼请求等。</w:t>
      </w:r>
    </w:p>
  </w:footnote>
  <w:footnote w:id="26">
    <w:p>
      <w:pPr>
        <w:pStyle w:val="6"/>
        <w:keepNext w:val="0"/>
        <w:keepLines w:val="0"/>
        <w:pageBreakBefore w:val="0"/>
        <w:widowControl w:val="0"/>
        <w:kinsoku/>
        <w:wordWrap/>
        <w:overflowPunct/>
        <w:topLinePunct w:val="0"/>
        <w:autoSpaceDE/>
        <w:autoSpaceDN/>
        <w:bidi w:val="0"/>
        <w:adjustRightInd/>
        <w:snapToGrid w:val="0"/>
        <w:ind w:firstLine="360" w:firstLineChars="200"/>
        <w:textAlignment w:val="auto"/>
        <w:rPr>
          <w:rFonts w:hint="default"/>
          <w:lang w:val="en-US" w:eastAsia="zh-CN"/>
        </w:rPr>
      </w:pPr>
      <w:r>
        <w:rPr>
          <w:rStyle w:val="12"/>
        </w:rPr>
        <w:footnoteRef/>
      </w:r>
      <w:r>
        <w:t xml:space="preserve"> </w:t>
      </w:r>
      <w:r>
        <w:rPr>
          <w:rFonts w:hint="eastAsia"/>
          <w:lang w:val="en-US" w:eastAsia="zh-CN"/>
        </w:rPr>
        <w:t>案例信息来源于广州海事法院官方微信公众号于2019年9月4日发布的《典型案件——中山市海洋与渔业局诉彭伟权、冯喜林等污染海洋环境责任纠纷额民事公益诉讼案》一文。</w:t>
      </w:r>
    </w:p>
  </w:footnote>
  <w:footnote w:id="27">
    <w:p>
      <w:pPr>
        <w:pStyle w:val="6"/>
        <w:keepNext w:val="0"/>
        <w:keepLines w:val="0"/>
        <w:pageBreakBefore w:val="0"/>
        <w:widowControl w:val="0"/>
        <w:kinsoku/>
        <w:wordWrap/>
        <w:overflowPunct/>
        <w:topLinePunct w:val="0"/>
        <w:autoSpaceDE/>
        <w:autoSpaceDN/>
        <w:bidi w:val="0"/>
        <w:adjustRightInd/>
        <w:snapToGrid w:val="0"/>
        <w:ind w:firstLine="360" w:firstLineChars="200"/>
        <w:textAlignment w:val="auto"/>
        <w:rPr>
          <w:rFonts w:hint="eastAsia"/>
          <w:lang w:val="en-US" w:eastAsia="zh-CN"/>
        </w:rPr>
      </w:pPr>
      <w:r>
        <w:rPr>
          <w:rStyle w:val="12"/>
          <w:rFonts w:hint="eastAsia" w:ascii="Calibri" w:hAnsi="Calibri" w:eastAsia="宋体" w:cs="Times New Roman"/>
          <w:lang w:val="en-US" w:eastAsia="zh-CN"/>
        </w:rPr>
        <w:footnoteRef/>
      </w:r>
      <w:r>
        <w:rPr>
          <w:rStyle w:val="12"/>
          <w:rFonts w:hint="default" w:ascii="Calibri" w:hAnsi="Calibri" w:eastAsia="宋体" w:cs="Times New Roman"/>
          <w:lang w:val="en-US" w:eastAsia="zh-CN"/>
        </w:rPr>
        <w:t xml:space="preserve"> </w:t>
      </w:r>
      <w:r>
        <w:rPr>
          <w:rFonts w:hint="eastAsia"/>
          <w:lang w:val="en-US" w:eastAsia="zh-CN"/>
        </w:rPr>
        <w:t>朱酉彤：《中国内地与港澳司法协助安排之现状、问题及完善——以&lt;粤港澳大湾区发展规划纲要&gt;出台为背景》，载《澳门法政杂志》2022年第2期，第66页。</w:t>
      </w:r>
    </w:p>
  </w:footnote>
  <w:footnote w:id="28">
    <w:p>
      <w:pPr>
        <w:pStyle w:val="6"/>
        <w:keepNext w:val="0"/>
        <w:keepLines w:val="0"/>
        <w:pageBreakBefore w:val="0"/>
        <w:widowControl w:val="0"/>
        <w:kinsoku/>
        <w:wordWrap/>
        <w:overflowPunct/>
        <w:topLinePunct w:val="0"/>
        <w:autoSpaceDE/>
        <w:autoSpaceDN/>
        <w:bidi w:val="0"/>
        <w:adjustRightInd/>
        <w:snapToGrid w:val="0"/>
        <w:ind w:firstLine="360" w:firstLineChars="200"/>
        <w:textAlignment w:val="auto"/>
        <w:rPr>
          <w:rFonts w:hint="eastAsia"/>
          <w:lang w:val="en-US" w:eastAsia="zh-CN"/>
        </w:rPr>
      </w:pPr>
      <w:r>
        <w:rPr>
          <w:rStyle w:val="12"/>
          <w:rFonts w:hint="eastAsia" w:ascii="微软雅黑" w:hAnsi="微软雅黑" w:eastAsia="微软雅黑" w:cs="微软雅黑"/>
          <w:sz w:val="18"/>
          <w:szCs w:val="18"/>
        </w:rPr>
        <w:footnoteRef/>
      </w:r>
      <w:r>
        <w:rPr>
          <w:rFonts w:hint="default"/>
          <w:lang w:val="en-US"/>
        </w:rPr>
        <w:t xml:space="preserve"> </w:t>
      </w:r>
      <w:r>
        <w:rPr>
          <w:rFonts w:hint="eastAsia"/>
          <w:lang w:val="en-US" w:eastAsia="zh-CN"/>
        </w:rPr>
        <w:t>历程、石宝雅：《粤港澳大湾区环境协同治理：机制、困境与对策》，载《特区实践与理论》2023年第3期，第40页。</w:t>
      </w:r>
    </w:p>
  </w:footnote>
  <w:footnote w:id="29">
    <w:p>
      <w:pPr>
        <w:pStyle w:val="6"/>
        <w:keepNext w:val="0"/>
        <w:keepLines w:val="0"/>
        <w:pageBreakBefore w:val="0"/>
        <w:widowControl w:val="0"/>
        <w:kinsoku/>
        <w:wordWrap/>
        <w:overflowPunct/>
        <w:topLinePunct w:val="0"/>
        <w:autoSpaceDE/>
        <w:autoSpaceDN/>
        <w:bidi w:val="0"/>
        <w:adjustRightInd/>
        <w:snapToGrid w:val="0"/>
        <w:ind w:firstLine="360" w:firstLineChars="200"/>
        <w:textAlignment w:val="auto"/>
        <w:rPr>
          <w:rFonts w:hint="eastAsia" w:ascii="微软雅黑" w:hAnsi="微软雅黑" w:eastAsia="微软雅黑" w:cs="微软雅黑"/>
          <w:sz w:val="18"/>
          <w:szCs w:val="18"/>
          <w:lang w:val="en-US" w:eastAsia="zh-CN"/>
        </w:rPr>
      </w:pPr>
      <w:r>
        <w:rPr>
          <w:rStyle w:val="12"/>
          <w:rFonts w:hint="eastAsia" w:ascii="微软雅黑" w:hAnsi="微软雅黑" w:eastAsia="微软雅黑" w:cs="微软雅黑"/>
          <w:sz w:val="18"/>
          <w:szCs w:val="18"/>
        </w:rPr>
        <w:footnoteRef/>
      </w:r>
      <w:r>
        <w:rPr>
          <w:rFonts w:hint="default" w:ascii="Calibri" w:hAnsi="Calibri" w:eastAsia="微软雅黑" w:cs="微软雅黑"/>
          <w:sz w:val="18"/>
          <w:szCs w:val="18"/>
          <w:lang w:val="en-US"/>
        </w:rPr>
        <w:t xml:space="preserve"> </w:t>
      </w:r>
      <w:r>
        <w:rPr>
          <w:rFonts w:hint="eastAsia"/>
          <w:lang w:val="en-US" w:eastAsia="zh-CN"/>
        </w:rPr>
        <w:t>陈朋亲：《粤港澳大湾区规则相互衔接的制度复杂性与行为策略》，载《学术论坛》2023年第46期，第36页。</w:t>
      </w:r>
    </w:p>
  </w:footnote>
  <w:footnote w:id="30">
    <w:p>
      <w:pPr>
        <w:pStyle w:val="6"/>
        <w:keepNext w:val="0"/>
        <w:keepLines w:val="0"/>
        <w:pageBreakBefore w:val="0"/>
        <w:widowControl w:val="0"/>
        <w:kinsoku/>
        <w:wordWrap/>
        <w:overflowPunct/>
        <w:topLinePunct w:val="0"/>
        <w:autoSpaceDE/>
        <w:autoSpaceDN/>
        <w:bidi w:val="0"/>
        <w:adjustRightInd/>
        <w:snapToGrid w:val="0"/>
        <w:ind w:firstLine="360" w:firstLineChars="200"/>
        <w:textAlignment w:val="auto"/>
        <w:rPr>
          <w:rFonts w:hint="default"/>
          <w:lang w:val="en-US" w:eastAsia="zh-CN"/>
        </w:rPr>
      </w:pPr>
      <w:r>
        <w:rPr>
          <w:rStyle w:val="12"/>
          <w:rFonts w:hint="eastAsia" w:ascii="微软雅黑" w:hAnsi="微软雅黑" w:eastAsia="微软雅黑" w:cs="微软雅黑"/>
          <w:sz w:val="18"/>
          <w:szCs w:val="18"/>
        </w:rPr>
        <w:footnoteRef/>
      </w:r>
      <w:r>
        <w:rPr>
          <w:rFonts w:hint="default" w:ascii="Calibri" w:hAnsi="Calibri" w:eastAsia="微软雅黑" w:cs="微软雅黑"/>
          <w:sz w:val="18"/>
          <w:szCs w:val="18"/>
          <w:lang w:val="en-US"/>
        </w:rPr>
        <w:t xml:space="preserve"> </w:t>
      </w:r>
      <w:r>
        <w:rPr>
          <w:rFonts w:hint="eastAsia"/>
          <w:lang w:val="en-US" w:eastAsia="zh-CN"/>
        </w:rPr>
        <w:t>张淑钿：《粤港澳大湾区民商事司法协助的现状与未来发展》，载《中国应用法学》2019年第6期，第23页。</w:t>
      </w:r>
    </w:p>
  </w:footnote>
  <w:footnote w:id="31">
    <w:p>
      <w:pPr>
        <w:pStyle w:val="6"/>
        <w:keepNext w:val="0"/>
        <w:keepLines w:val="0"/>
        <w:pageBreakBefore w:val="0"/>
        <w:widowControl w:val="0"/>
        <w:kinsoku/>
        <w:wordWrap/>
        <w:overflowPunct/>
        <w:topLinePunct w:val="0"/>
        <w:autoSpaceDE/>
        <w:autoSpaceDN/>
        <w:bidi w:val="0"/>
        <w:adjustRightInd/>
        <w:snapToGrid w:val="0"/>
        <w:ind w:firstLine="360" w:firstLineChars="200"/>
        <w:textAlignment w:val="auto"/>
        <w:rPr>
          <w:rFonts w:hint="eastAsia"/>
          <w:lang w:val="en-US" w:eastAsia="zh-CN"/>
        </w:rPr>
      </w:pPr>
      <w:r>
        <w:rPr>
          <w:rStyle w:val="12"/>
          <w:rFonts w:hint="eastAsia" w:ascii="微软雅黑" w:hAnsi="微软雅黑" w:eastAsia="微软雅黑" w:cs="微软雅黑"/>
          <w:sz w:val="18"/>
          <w:szCs w:val="18"/>
          <w:lang w:val="en-US" w:eastAsia="zh-CN"/>
        </w:rPr>
        <w:footnoteRef/>
      </w:r>
      <w:r>
        <w:rPr>
          <w:rStyle w:val="12"/>
          <w:rFonts w:hint="default" w:ascii="微软雅黑" w:hAnsi="微软雅黑" w:eastAsia="微软雅黑" w:cs="微软雅黑"/>
          <w:sz w:val="18"/>
          <w:szCs w:val="18"/>
          <w:lang w:val="en-US" w:eastAsia="zh-CN"/>
        </w:rPr>
        <w:t xml:space="preserve"> </w:t>
      </w:r>
      <w:r>
        <w:rPr>
          <w:rFonts w:hint="eastAsia"/>
          <w:lang w:val="en-US" w:eastAsia="zh-CN"/>
        </w:rPr>
        <w:t>平行诉讼，指相同当事人就统一正一基于相同实施以及相同目的在两个以上国家的法院进行诉讼的现象，它是以平行官谢为基础而产生的。</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8D9FC29"/>
    <w:multiLevelType w:val="singleLevel"/>
    <w:tmpl w:val="18D9FC29"/>
    <w:lvl w:ilvl="0" w:tentative="0">
      <w:start w:val="2"/>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64"/>
    <w:footnote w:id="65"/>
  </w:foot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I0ZmFmYzYyZmQ5MTYxNzUxMTA4MWI1YmVjOTY3MTQifQ=="/>
  </w:docVars>
  <w:rsids>
    <w:rsidRoot w:val="00000000"/>
    <w:rsid w:val="142D678C"/>
    <w:rsid w:val="148C1C54"/>
    <w:rsid w:val="36934E49"/>
    <w:rsid w:val="3F941E72"/>
    <w:rsid w:val="3FC1359F"/>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qFormat="1"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35" w:semiHidden="0" w:name="caption"/>
    <w:lsdException w:unhideWhenUsed="0" w:uiPriority="0" w:semiHidden="0" w:name="table of figures"/>
    <w:lsdException w:unhideWhenUsed="0" w:uiPriority="0" w:semiHidden="0" w:name="envelope address"/>
    <w:lsdException w:unhideWhenUsed="0" w:uiPriority="0" w:semiHidden="0" w:name="envelope return"/>
    <w:lsdException w:qFormat="1"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paragraph" w:styleId="4">
    <w:name w:val="heading 3"/>
    <w:basedOn w:val="1"/>
    <w:next w:val="1"/>
    <w:unhideWhenUsed/>
    <w:qFormat/>
    <w:uiPriority w:val="0"/>
    <w:pPr>
      <w:spacing w:beforeAutospacing="1" w:afterAutospacing="1"/>
      <w:jc w:val="left"/>
      <w:outlineLvl w:val="2"/>
    </w:pPr>
    <w:rPr>
      <w:rFonts w:hint="eastAsia" w:ascii="宋体" w:hAnsi="宋体"/>
      <w:b/>
      <w:bCs/>
      <w:kern w:val="0"/>
      <w:sz w:val="27"/>
      <w:szCs w:val="27"/>
    </w:rPr>
  </w:style>
  <w:style w:type="character" w:default="1" w:styleId="11">
    <w:name w:val="Default Paragraph Font"/>
    <w:semiHidden/>
    <w:qFormat/>
    <w:uiPriority w:val="0"/>
  </w:style>
  <w:style w:type="table" w:default="1" w:styleId="9">
    <w:name w:val="Normal Table"/>
    <w:semiHidden/>
    <w:qFormat/>
    <w:uiPriority w:val="0"/>
    <w:tblPr>
      <w:tblCellMar>
        <w:top w:w="0" w:type="dxa"/>
        <w:left w:w="108" w:type="dxa"/>
        <w:bottom w:w="0" w:type="dxa"/>
        <w:right w:w="108" w:type="dxa"/>
      </w:tblCellMar>
    </w:tblPr>
  </w:style>
  <w:style w:type="paragraph" w:styleId="2">
    <w:name w:val="Body Text First Indent 2"/>
    <w:basedOn w:val="3"/>
    <w:next w:val="1"/>
    <w:unhideWhenUsed/>
    <w:qFormat/>
    <w:uiPriority w:val="99"/>
    <w:pPr>
      <w:widowControl w:val="0"/>
      <w:spacing w:after="120"/>
      <w:ind w:firstLine="880" w:firstLineChars="200"/>
      <w:jc w:val="both"/>
    </w:pPr>
    <w:rPr>
      <w:rFonts w:ascii="Times New Roman" w:hAnsi="Times New Roman" w:eastAsia="宋体" w:cs="Times New Roman"/>
      <w:kern w:val="2"/>
      <w:sz w:val="21"/>
      <w:szCs w:val="24"/>
      <w:lang w:val="en-US" w:eastAsia="zh-CN" w:bidi="ar-SA"/>
    </w:rPr>
  </w:style>
  <w:style w:type="paragraph" w:styleId="3">
    <w:name w:val="Body Text Indent"/>
    <w:basedOn w:val="1"/>
    <w:next w:val="2"/>
    <w:qFormat/>
    <w:uiPriority w:val="0"/>
    <w:pPr>
      <w:spacing w:after="120" w:afterLines="0" w:afterAutospacing="0"/>
      <w:ind w:left="420" w:leftChars="200"/>
    </w:pPr>
  </w:style>
  <w:style w:type="paragraph" w:styleId="5">
    <w:name w:val="caption"/>
    <w:basedOn w:val="1"/>
    <w:next w:val="1"/>
    <w:unhideWhenUsed/>
    <w:qFormat/>
    <w:uiPriority w:val="35"/>
    <w:pPr>
      <w:jc w:val="center"/>
    </w:pPr>
    <w:rPr>
      <w:rFonts w:eastAsia="楷体" w:cs="Angsana New (标题 CS)"/>
      <w:sz w:val="18"/>
      <w:szCs w:val="20"/>
    </w:rPr>
  </w:style>
  <w:style w:type="paragraph" w:styleId="6">
    <w:name w:val="footnote text"/>
    <w:basedOn w:val="1"/>
    <w:qFormat/>
    <w:uiPriority w:val="0"/>
    <w:pPr>
      <w:snapToGrid w:val="0"/>
      <w:jc w:val="left"/>
    </w:pPr>
    <w:rPr>
      <w:sz w:val="18"/>
    </w:rPr>
  </w:style>
  <w:style w:type="paragraph" w:styleId="7">
    <w:name w:val="Normal (Web)"/>
    <w:basedOn w:val="1"/>
    <w:qFormat/>
    <w:uiPriority w:val="0"/>
    <w:pPr>
      <w:spacing w:before="100" w:beforeAutospacing="1" w:after="100" w:afterAutospacing="1"/>
      <w:jc w:val="left"/>
    </w:pPr>
    <w:rPr>
      <w:kern w:val="0"/>
      <w:sz w:val="24"/>
    </w:rPr>
  </w:style>
  <w:style w:type="paragraph" w:styleId="8">
    <w:name w:val="Title"/>
    <w:basedOn w:val="1"/>
    <w:next w:val="1"/>
    <w:qFormat/>
    <w:uiPriority w:val="10"/>
    <w:pPr>
      <w:spacing w:line="360" w:lineRule="auto"/>
      <w:ind w:firstLine="0" w:firstLineChars="0"/>
      <w:jc w:val="center"/>
      <w:outlineLvl w:val="0"/>
    </w:pPr>
    <w:rPr>
      <w:rFonts w:cs="Times New Roman"/>
      <w:b/>
      <w:bCs/>
      <w:sz w:val="28"/>
      <w:szCs w:val="32"/>
    </w:rPr>
  </w:style>
  <w:style w:type="table" w:styleId="10">
    <w:name w:val="Table Grid"/>
    <w:basedOn w:val="9"/>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2">
    <w:name w:val="footnote reference"/>
    <w:basedOn w:val="11"/>
    <w:qFormat/>
    <w:uiPriority w:val="0"/>
    <w:rPr>
      <w:vertAlign w:val="superscript"/>
    </w:rPr>
  </w:style>
  <w:style w:type="paragraph" w:customStyle="1" w:styleId="13">
    <w:name w:val="公文正文"/>
    <w:basedOn w:val="1"/>
    <w:qFormat/>
    <w:uiPriority w:val="0"/>
    <w:pPr>
      <w:spacing w:line="570" w:lineRule="exact"/>
      <w:ind w:firstLine="640" w:firstLineChars="200"/>
    </w:pPr>
    <w:rPr>
      <w:rFonts w:hint="eastAsia" w:ascii="仿宋_GB2312" w:hAnsi="仿宋_GB2312" w:eastAsia="仿宋_GB2312" w:cs="仿宋_GB2312"/>
      <w:sz w:val="32"/>
      <w:szCs w:val="32"/>
    </w:rPr>
  </w:style>
  <w:style w:type="paragraph" w:customStyle="1" w:styleId="14">
    <w:name w:val="公文标题"/>
    <w:basedOn w:val="1"/>
    <w:next w:val="1"/>
    <w:qFormat/>
    <w:uiPriority w:val="0"/>
    <w:pPr>
      <w:keepNext/>
      <w:keepLines/>
      <w:spacing w:line="570" w:lineRule="exact"/>
      <w:jc w:val="center"/>
      <w:outlineLvl w:val="0"/>
    </w:pPr>
    <w:rPr>
      <w:rFonts w:hint="eastAsia" w:ascii="方正小标宋简体" w:hAnsi="方正小标宋简体" w:eastAsia="方正小标宋简体" w:cs="Times New Roman"/>
      <w:kern w:val="44"/>
      <w:sz w:val="44"/>
      <w:szCs w:val="22"/>
    </w:rPr>
  </w:style>
  <w:style w:type="paragraph" w:styleId="15">
    <w:name w:val="List Paragraph"/>
    <w:basedOn w:val="1"/>
    <w:qFormat/>
    <w:uiPriority w:val="0"/>
    <w:pPr>
      <w:ind w:firstLine="420" w:firstLineChars="200"/>
    </w:p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theme" Target="theme/theme1.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20</Pages>
  <Words>0</Words>
  <Characters>0</Characters>
  <Lines>0</Lines>
  <Paragraphs>0</Paragraphs>
  <TotalTime>4</TotalTime>
  <ScaleCrop>false</ScaleCrop>
  <LinksUpToDate>false</LinksUpToDate>
  <CharactersWithSpaces>0</CharactersWithSpaces>
  <Application>WPS Office_11.8.2.12309_F1E327BC-269C-435d-A152-05C5408002CA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Administrator</cp:lastModifiedBy>
  <dcterms:modified xsi:type="dcterms:W3CDTF">2025-01-27T02:30:40Z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2052-11.8.2.12309</vt:lpwstr>
  </property>
  <property fmtid="{D5CDD505-2E9C-101B-9397-08002B2CF9AE}" pid="3" name="ICV">
    <vt:lpwstr>6895EF53F4BE48F09796AC211FA5B3D3</vt:lpwstr>
  </property>
</Properties>
</file>