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黑体" w:hAnsi="黑体" w:eastAsia="黑体" w:cs="宋体"/>
          <w:b w:val="0"/>
          <w:bCs/>
          <w:color w:val="000000"/>
          <w:kern w:val="0"/>
          <w:sz w:val="36"/>
          <w:szCs w:val="36"/>
          <w:lang w:eastAsia="zh-CN"/>
        </w:rPr>
      </w:pPr>
      <w:bookmarkStart w:id="0" w:name="_GoBack"/>
      <w:r>
        <w:rPr>
          <w:rFonts w:hint="eastAsia" w:ascii="黑体" w:hAnsi="黑体" w:eastAsia="黑体" w:cs="宋体"/>
          <w:b w:val="0"/>
          <w:bCs/>
          <w:color w:val="000000"/>
          <w:kern w:val="0"/>
          <w:sz w:val="36"/>
          <w:szCs w:val="36"/>
        </w:rPr>
        <w:t>未成年人</w:t>
      </w:r>
      <w:r>
        <w:rPr>
          <w:rFonts w:hint="eastAsia" w:ascii="黑体" w:hAnsi="黑体" w:eastAsia="黑体" w:cs="宋体"/>
          <w:b w:val="0"/>
          <w:bCs/>
          <w:color w:val="000000"/>
          <w:kern w:val="0"/>
          <w:sz w:val="36"/>
          <w:szCs w:val="36"/>
          <w:lang w:eastAsia="zh-CN"/>
        </w:rPr>
        <w:t>保护大格局下</w:t>
      </w:r>
      <w:r>
        <w:rPr>
          <w:rFonts w:hint="eastAsia" w:ascii="黑体" w:hAnsi="黑体" w:eastAsia="黑体" w:cs="宋体"/>
          <w:b w:val="0"/>
          <w:bCs/>
          <w:color w:val="000000"/>
          <w:kern w:val="0"/>
          <w:sz w:val="36"/>
          <w:szCs w:val="36"/>
        </w:rPr>
        <w:t>行政公益诉讼</w:t>
      </w:r>
      <w:r>
        <w:rPr>
          <w:rFonts w:hint="eastAsia" w:ascii="黑体" w:hAnsi="黑体" w:eastAsia="黑体" w:cs="宋体"/>
          <w:b w:val="0"/>
          <w:bCs/>
          <w:color w:val="000000"/>
          <w:kern w:val="0"/>
          <w:sz w:val="36"/>
          <w:szCs w:val="36"/>
          <w:lang w:eastAsia="zh-CN"/>
        </w:rPr>
        <w:t>之探索与建构</w:t>
      </w:r>
    </w:p>
    <w:bookmarkEnd w:id="0"/>
    <w:p>
      <w:pPr>
        <w:pStyle w:val="2"/>
        <w:jc w:val="center"/>
        <w:rPr>
          <w:rFonts w:hint="eastAsia" w:ascii="宋体" w:hAnsi="宋体" w:eastAsia="宋体" w:cs="宋体"/>
          <w:b/>
          <w:bCs w:val="0"/>
          <w:sz w:val="32"/>
          <w:szCs w:val="32"/>
          <w:lang w:eastAsia="zh-CN"/>
        </w:rPr>
      </w:pPr>
      <w:r>
        <w:rPr>
          <w:rFonts w:hint="eastAsia" w:ascii="宋体" w:hAnsi="宋体" w:eastAsia="宋体" w:cs="宋体"/>
          <w:b/>
          <w:bCs w:val="0"/>
          <w:color w:val="000000"/>
          <w:kern w:val="0"/>
          <w:sz w:val="32"/>
          <w:szCs w:val="32"/>
          <w:lang w:eastAsia="zh-CN"/>
        </w:rPr>
        <w:t>——以“顺德实践”为样本</w:t>
      </w:r>
    </w:p>
    <w:p>
      <w:pPr>
        <w:pStyle w:val="2"/>
        <w:jc w:val="center"/>
        <w:rPr>
          <w:rFonts w:hint="eastAsia"/>
        </w:rPr>
      </w:pPr>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sz w:val="28"/>
          <w:szCs w:val="28"/>
        </w:rPr>
      </w:pPr>
      <w:r>
        <w:rPr>
          <w:rFonts w:hint="eastAsia" w:ascii="黑体" w:hAnsi="黑体" w:eastAsia="楷体_GB2312" w:cs="黑体"/>
          <w:sz w:val="28"/>
          <w:szCs w:val="28"/>
          <w:lang w:eastAsia="zh-CN"/>
        </w:rPr>
        <w:t>课题组</w:t>
      </w:r>
      <w:r>
        <w:rPr>
          <w:rStyle w:val="10"/>
          <w:rFonts w:hint="eastAsia" w:ascii="黑体" w:hAnsi="黑体" w:eastAsia="楷体_GB2312" w:cs="黑体"/>
          <w:sz w:val="28"/>
          <w:szCs w:val="28"/>
          <w:lang w:eastAsia="zh-CN"/>
        </w:rPr>
        <w:footnoteReference w:id="0"/>
      </w:r>
    </w:p>
    <w:p>
      <w:pPr>
        <w:adjustRightInd w:val="0"/>
        <w:snapToGrid w:val="0"/>
        <w:spacing w:line="360" w:lineRule="auto"/>
        <w:jc w:val="left"/>
        <w:rPr>
          <w:rFonts w:ascii="黑体" w:hAnsi="黑体" w:eastAsia="黑体" w:cs="宋体"/>
          <w:b/>
          <w:color w:val="000000"/>
          <w:kern w:val="0"/>
          <w:sz w:val="44"/>
          <w:szCs w:val="44"/>
        </w:rPr>
      </w:pPr>
      <w:r>
        <w:rPr>
          <w:rFonts w:hint="eastAsia" w:ascii="黑体" w:hAnsi="黑体" w:eastAsia="黑体" w:cs="黑体"/>
          <w:b/>
          <w:sz w:val="28"/>
          <w:szCs w:val="28"/>
        </w:rPr>
        <w:t>摘要</w:t>
      </w:r>
      <w:r>
        <w:rPr>
          <w:rFonts w:hint="eastAsia" w:ascii="黑体" w:hAnsi="黑体" w:eastAsia="黑体" w:cs="黑体"/>
          <w:sz w:val="28"/>
          <w:szCs w:val="28"/>
        </w:rPr>
        <w:t>：</w:t>
      </w:r>
      <w:r>
        <w:rPr>
          <w:rFonts w:hint="eastAsia" w:ascii="宋体" w:hAnsi="宋体" w:eastAsia="宋体" w:cs="宋体"/>
          <w:sz w:val="24"/>
          <w:szCs w:val="24"/>
        </w:rPr>
        <w:t>未成年人检察行政公益诉讼在实务中面临着受案范围未明确、主体认定难定、调查取证受限、线索来源不足等多重难题。本文</w:t>
      </w:r>
      <w:r>
        <w:rPr>
          <w:rFonts w:hint="eastAsia" w:ascii="宋体" w:hAnsi="宋体" w:eastAsia="宋体" w:cs="宋体"/>
          <w:sz w:val="24"/>
          <w:szCs w:val="24"/>
          <w:lang w:eastAsia="zh-CN"/>
        </w:rPr>
        <w:t>从广东省</w:t>
      </w:r>
      <w:r>
        <w:rPr>
          <w:rFonts w:hint="eastAsia" w:ascii="宋体" w:hAnsi="宋体" w:eastAsia="宋体" w:cs="宋体"/>
          <w:sz w:val="24"/>
          <w:szCs w:val="24"/>
        </w:rPr>
        <w:t>佛山市顺德区人民检察院的实</w:t>
      </w:r>
      <w:r>
        <w:rPr>
          <w:rFonts w:hint="eastAsia" w:ascii="宋体" w:hAnsi="宋体" w:eastAsia="宋体" w:cs="宋体"/>
          <w:sz w:val="24"/>
          <w:szCs w:val="24"/>
          <w:lang w:eastAsia="zh-CN"/>
        </w:rPr>
        <w:t>践</w:t>
      </w:r>
      <w:r>
        <w:rPr>
          <w:rFonts w:hint="eastAsia" w:ascii="宋体" w:hAnsi="宋体" w:eastAsia="宋体" w:cs="宋体"/>
          <w:sz w:val="24"/>
          <w:szCs w:val="24"/>
        </w:rPr>
        <w:t>经验出发，探讨未成年人行政公益诉讼存在难题，并提出以未保法为索引明确涉未行政公益诉讼受案范围、明确诉讼对象推进涉未行政公益诉讼工作、转变方式方法提升调查取证能力、内外发力拓宽未检行政公益诉讼线索来源等对策。</w:t>
      </w:r>
    </w:p>
    <w:p>
      <w:pPr>
        <w:adjustRightInd w:val="0"/>
        <w:snapToGrid w:val="0"/>
        <w:spacing w:line="360" w:lineRule="auto"/>
        <w:rPr>
          <w:rFonts w:ascii="宋体" w:hAnsi="宋体" w:eastAsia="宋体"/>
          <w:sz w:val="28"/>
          <w:szCs w:val="28"/>
        </w:rPr>
      </w:pPr>
      <w:r>
        <w:rPr>
          <w:rFonts w:hint="eastAsia" w:ascii="黑体" w:hAnsi="黑体" w:eastAsia="黑体" w:cs="黑体"/>
          <w:b/>
          <w:sz w:val="28"/>
          <w:szCs w:val="28"/>
        </w:rPr>
        <w:t>关键词：</w:t>
      </w:r>
      <w:r>
        <w:rPr>
          <w:rFonts w:hint="eastAsia" w:ascii="宋体" w:hAnsi="宋体" w:eastAsia="宋体" w:cs="宋体"/>
          <w:sz w:val="24"/>
          <w:szCs w:val="24"/>
        </w:rPr>
        <w:t>检察行政公益诉讼；未成年人保护；实践探索</w:t>
      </w:r>
    </w:p>
    <w:p>
      <w:pPr>
        <w:adjustRightInd w:val="0"/>
        <w:snapToGrid w:val="0"/>
        <w:spacing w:line="360" w:lineRule="auto"/>
        <w:ind w:firstLine="420"/>
        <w:rPr>
          <w:rFonts w:ascii="宋体" w:hAnsi="宋体" w:eastAsia="宋体"/>
          <w:sz w:val="28"/>
          <w:szCs w:val="28"/>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rPr>
        <w:t>未成年人行政公益诉讼从属于检察行政公益诉讼，从结构和功能视觉理解，未成年人公益诉讼本质上是一种偏重监督行政履职的司法机制，容易将行政管制没有发现和不愿意呈现的问题显现出来，在一定程度上弥补行政治理之不足，并且建立起行政管制与司法治理相互依存的公益保护行政链接，形成多元治理机制在公益保护层面的耦合</w:t>
      </w:r>
      <w:r>
        <w:rPr>
          <w:rStyle w:val="10"/>
          <w:rFonts w:hint="eastAsia" w:ascii="宋体" w:hAnsi="宋体" w:eastAsia="宋体" w:cs="宋体"/>
          <w:sz w:val="24"/>
          <w:szCs w:val="24"/>
        </w:rPr>
        <w:footnoteReference w:id="1"/>
      </w:r>
      <w:r>
        <w:rPr>
          <w:rFonts w:hint="eastAsia" w:ascii="宋体" w:hAnsi="宋体" w:eastAsia="宋体" w:cs="宋体"/>
          <w:sz w:val="24"/>
          <w:szCs w:val="24"/>
        </w:rPr>
        <w:t>。近年来，检察机关以“公共利益”为核心，坚持未成年人特殊、优先保护方针，围绕人民群众重点关注、急切期待解决的侵犯不特定多数未成年人合法权益的难点问题开展行政公益诉讼工作。但实践中存在案件范围不明、取证难度大、行政义务源审核难、线索来源不足等诸多难题。本文将以</w:t>
      </w:r>
      <w:r>
        <w:rPr>
          <w:rFonts w:hint="eastAsia" w:ascii="宋体" w:hAnsi="宋体" w:eastAsia="宋体" w:cs="宋体"/>
          <w:sz w:val="24"/>
          <w:szCs w:val="24"/>
          <w:lang w:eastAsia="zh-CN"/>
        </w:rPr>
        <w:t>佛山市</w:t>
      </w:r>
      <w:r>
        <w:rPr>
          <w:rFonts w:hint="eastAsia" w:ascii="宋体" w:hAnsi="宋体" w:eastAsia="宋体" w:cs="宋体"/>
          <w:sz w:val="24"/>
          <w:szCs w:val="24"/>
        </w:rPr>
        <w:t>顺德区人民检察院的实</w:t>
      </w:r>
      <w:r>
        <w:rPr>
          <w:rFonts w:hint="eastAsia" w:ascii="宋体" w:hAnsi="宋体" w:eastAsia="宋体" w:cs="宋体"/>
          <w:sz w:val="24"/>
          <w:szCs w:val="24"/>
          <w:lang w:eastAsia="zh-CN"/>
        </w:rPr>
        <w:t>践</w:t>
      </w:r>
      <w:r>
        <w:rPr>
          <w:rFonts w:hint="eastAsia" w:ascii="宋体" w:hAnsi="宋体" w:eastAsia="宋体" w:cs="宋体"/>
          <w:sz w:val="24"/>
          <w:szCs w:val="24"/>
        </w:rPr>
        <w:t>经验</w:t>
      </w:r>
      <w:r>
        <w:rPr>
          <w:rStyle w:val="10"/>
          <w:rFonts w:hint="eastAsia" w:ascii="宋体" w:hAnsi="宋体" w:eastAsia="宋体" w:cs="宋体"/>
          <w:sz w:val="24"/>
          <w:szCs w:val="24"/>
        </w:rPr>
        <w:footnoteReference w:id="2"/>
      </w:r>
      <w:r>
        <w:rPr>
          <w:rFonts w:hint="eastAsia" w:ascii="宋体" w:hAnsi="宋体" w:eastAsia="宋体" w:cs="宋体"/>
          <w:sz w:val="24"/>
          <w:szCs w:val="24"/>
          <w:lang w:eastAsia="zh-CN"/>
        </w:rPr>
        <w:t>为研究样本</w:t>
      </w:r>
      <w:r>
        <w:rPr>
          <w:rFonts w:hint="eastAsia" w:ascii="宋体" w:hAnsi="宋体" w:eastAsia="宋体" w:cs="宋体"/>
          <w:sz w:val="24"/>
          <w:szCs w:val="24"/>
        </w:rPr>
        <w:t>，共同探讨未成年人行政公益诉讼之难题，找寻应对之策。</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600" w:firstLineChars="200"/>
        <w:textAlignment w:val="auto"/>
        <w:rPr>
          <w:rFonts w:ascii="黑体" w:hAnsi="黑体" w:eastAsia="黑体" w:cs="黑体"/>
          <w:color w:val="auto"/>
          <w:sz w:val="30"/>
          <w:szCs w:val="30"/>
        </w:rPr>
      </w:pPr>
      <w:r>
        <w:rPr>
          <w:rFonts w:hint="eastAsia" w:ascii="黑体" w:hAnsi="黑体" w:eastAsia="黑体" w:cs="黑体"/>
          <w:color w:val="auto"/>
          <w:sz w:val="30"/>
          <w:szCs w:val="30"/>
          <w:lang w:eastAsia="zh-CN"/>
        </w:rPr>
        <w:t>实践探索：未成年人检察</w:t>
      </w:r>
      <w:r>
        <w:rPr>
          <w:rFonts w:hint="eastAsia" w:ascii="黑体" w:hAnsi="黑体" w:eastAsia="黑体" w:cs="黑体"/>
          <w:color w:val="auto"/>
          <w:sz w:val="30"/>
          <w:szCs w:val="30"/>
        </w:rPr>
        <w:t>行政公益诉</w:t>
      </w:r>
      <w:r>
        <w:rPr>
          <w:rFonts w:hint="eastAsia" w:ascii="黑体" w:hAnsi="黑体" w:eastAsia="黑体" w:cs="黑体"/>
          <w:color w:val="auto"/>
          <w:sz w:val="30"/>
          <w:szCs w:val="30"/>
          <w:lang w:eastAsia="zh-CN"/>
        </w:rPr>
        <w:t>讼的“顺检”样本</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保障未成年人的合法权益，贯彻落实对未成年人的保护力度，2018年1月起，最高检在全国13个省份部署未成年人检察业务统一集中办理试点工作，把涉及未成年人的刑事执行、民事、行政、公益诉讼检察工作统一交由未检部门办理</w:t>
      </w:r>
      <w:r>
        <w:rPr>
          <w:rStyle w:val="10"/>
          <w:rFonts w:hint="eastAsia" w:ascii="宋体" w:hAnsi="宋体" w:eastAsia="宋体" w:cs="宋体"/>
          <w:sz w:val="24"/>
          <w:szCs w:val="24"/>
        </w:rPr>
        <w:footnoteReference w:id="3"/>
      </w:r>
      <w:r>
        <w:rPr>
          <w:rFonts w:hint="eastAsia" w:ascii="宋体" w:hAnsi="宋体" w:eastAsia="宋体" w:cs="宋体"/>
          <w:sz w:val="24"/>
          <w:szCs w:val="24"/>
        </w:rPr>
        <w:t>，在此基础上试点单位积极推动未成年人公益诉讼检察探索。早在2017年，佛山市顺德区</w:t>
      </w:r>
      <w:r>
        <w:rPr>
          <w:rFonts w:hint="eastAsia" w:ascii="宋体" w:hAnsi="宋体" w:eastAsia="宋体" w:cs="宋体"/>
          <w:sz w:val="24"/>
          <w:szCs w:val="24"/>
          <w:lang w:eastAsia="zh-CN"/>
        </w:rPr>
        <w:t>人民</w:t>
      </w:r>
      <w:r>
        <w:rPr>
          <w:rFonts w:hint="eastAsia" w:ascii="宋体" w:hAnsi="宋体" w:eastAsia="宋体" w:cs="宋体"/>
          <w:sz w:val="24"/>
          <w:szCs w:val="24"/>
        </w:rPr>
        <w:t>检察院民事行政部门已开展对未成年人公共利益保护的积极探索，鉴于当时我院并非试点单位，故仅立行政</w:t>
      </w:r>
      <w:r>
        <w:rPr>
          <w:rFonts w:hint="eastAsia" w:ascii="宋体" w:hAnsi="宋体" w:eastAsia="宋体" w:cs="宋体"/>
          <w:sz w:val="24"/>
          <w:szCs w:val="24"/>
          <w:lang w:val="en-US" w:eastAsia="zh-CN"/>
        </w:rPr>
        <w:t>违法</w:t>
      </w:r>
      <w:r>
        <w:rPr>
          <w:rFonts w:hint="eastAsia" w:ascii="宋体" w:hAnsi="宋体" w:eastAsia="宋体" w:cs="宋体"/>
          <w:sz w:val="24"/>
          <w:szCs w:val="24"/>
        </w:rPr>
        <w:t>监督案件。2020年实行未成年人检察业务统一集中办理后，</w:t>
      </w:r>
      <w:r>
        <w:rPr>
          <w:rFonts w:hint="eastAsia" w:ascii="宋体" w:hAnsi="宋体" w:eastAsia="宋体" w:cs="宋体"/>
          <w:sz w:val="24"/>
          <w:szCs w:val="24"/>
          <w:lang w:eastAsia="zh-CN"/>
        </w:rPr>
        <w:t>顺德区检察院围绕侵犯未成年人合法权益易发、多发，人民群众反映强烈，迫切要求解决的痛点难点问题开展行政公益诉讼，</w:t>
      </w:r>
      <w:r>
        <w:rPr>
          <w:rFonts w:hint="eastAsia" w:ascii="宋体" w:hAnsi="宋体" w:eastAsia="宋体" w:cs="宋体"/>
          <w:sz w:val="24"/>
          <w:szCs w:val="24"/>
        </w:rPr>
        <w:t>未成年人公益诉讼案件办理思路和范围进一步明确和拓宽</w:t>
      </w:r>
      <w:r>
        <w:rPr>
          <w:rFonts w:hint="eastAsia" w:hAnsi="宋体" w:cs="宋体"/>
          <w:sz w:val="24"/>
          <w:szCs w:val="24"/>
          <w:lang w:eastAsia="zh-CN"/>
        </w:rPr>
        <w:t>，</w:t>
      </w:r>
      <w:r>
        <w:rPr>
          <w:rFonts w:hint="eastAsia" w:ascii="宋体" w:hAnsi="宋体" w:eastAsia="宋体" w:cs="宋体"/>
          <w:sz w:val="24"/>
          <w:szCs w:val="24"/>
        </w:rPr>
        <w:t>2017年，顺德区检察院办理未成年人行政</w:t>
      </w:r>
      <w:r>
        <w:rPr>
          <w:rFonts w:hint="eastAsia" w:ascii="宋体" w:hAnsi="宋体" w:eastAsia="宋体" w:cs="宋体"/>
          <w:sz w:val="24"/>
          <w:szCs w:val="24"/>
          <w:lang w:val="en-US" w:eastAsia="zh-CN"/>
        </w:rPr>
        <w:t>违</w:t>
      </w:r>
      <w:r>
        <w:rPr>
          <w:rFonts w:hint="eastAsia" w:ascii="宋体" w:hAnsi="宋体" w:eastAsia="宋体" w:cs="宋体"/>
          <w:sz w:val="24"/>
          <w:szCs w:val="24"/>
        </w:rPr>
        <w:t>法监督案件1件，2019年办理未成年人行政公益诉讼案件3件</w:t>
      </w:r>
      <w:r>
        <w:rPr>
          <w:rFonts w:hint="eastAsia" w:ascii="宋体" w:hAnsi="宋体" w:eastAsia="宋体" w:cs="宋体"/>
          <w:sz w:val="24"/>
          <w:szCs w:val="24"/>
          <w:lang w:eastAsia="zh-CN"/>
        </w:rPr>
        <w:t>，</w:t>
      </w:r>
      <w:r>
        <w:rPr>
          <w:rFonts w:hint="eastAsia" w:ascii="宋体" w:hAnsi="宋体" w:eastAsia="宋体" w:cs="宋体"/>
          <w:sz w:val="24"/>
          <w:szCs w:val="24"/>
        </w:rPr>
        <w:t>2020年、2021年分别办理未成年人行政公益诉讼案件64件、4</w:t>
      </w:r>
      <w:r>
        <w:rPr>
          <w:rFonts w:hint="eastAsia" w:hAnsi="宋体" w:cs="宋体"/>
          <w:sz w:val="24"/>
          <w:szCs w:val="24"/>
          <w:lang w:val="en-US" w:eastAsia="zh-CN"/>
        </w:rPr>
        <w:t>5</w:t>
      </w:r>
      <w:r>
        <w:rPr>
          <w:rFonts w:hint="eastAsia" w:ascii="宋体" w:hAnsi="宋体" w:eastAsia="宋体" w:cs="宋体"/>
          <w:sz w:val="24"/>
          <w:szCs w:val="24"/>
        </w:rPr>
        <w:t>件。其中，涉及校园及周边的案件33</w:t>
      </w:r>
      <w:r>
        <w:rPr>
          <w:rFonts w:hint="eastAsia" w:hAnsi="宋体" w:cs="宋体"/>
          <w:sz w:val="24"/>
          <w:szCs w:val="24"/>
          <w:lang w:eastAsia="zh-CN"/>
        </w:rPr>
        <w:t>件，涉及领域包括</w:t>
      </w:r>
      <w:r>
        <w:rPr>
          <w:rFonts w:hint="eastAsia" w:ascii="宋体" w:hAnsi="宋体" w:eastAsia="宋体" w:cs="宋体"/>
          <w:sz w:val="24"/>
          <w:szCs w:val="24"/>
        </w:rPr>
        <w:t>民办学校招生、校服质量、校园周边销售香烟、 校园周边销售散装食品、校园周边窨井盖及网吧等，校园外案件78件</w:t>
      </w:r>
      <w:r>
        <w:rPr>
          <w:rFonts w:hint="eastAsia" w:hAnsi="宋体" w:cs="宋体"/>
          <w:sz w:val="24"/>
          <w:szCs w:val="24"/>
          <w:lang w:eastAsia="zh-CN"/>
        </w:rPr>
        <w:t>，涉及领域包括</w:t>
      </w:r>
      <w:r>
        <w:rPr>
          <w:rFonts w:hint="eastAsia" w:ascii="宋体" w:hAnsi="宋体" w:eastAsia="宋体" w:cs="宋体"/>
          <w:sz w:val="24"/>
          <w:szCs w:val="24"/>
        </w:rPr>
        <w:t>销售未经批准进口的药品、超范围销售婴幼儿配方乳粉、销售无中文标签和中文说明书的进口食品、售酒场所未依法设置不向未成年人售酒标志、娱乐场所、住宿场所违法接纳未成年人等。</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hAnsi="宋体" w:cs="宋体"/>
          <w:sz w:val="24"/>
          <w:szCs w:val="24"/>
          <w:lang w:val="en-US" w:eastAsia="zh-CN"/>
        </w:rPr>
        <w:t>同时，在办案深度上积极挖潜。</w:t>
      </w:r>
      <w:r>
        <w:rPr>
          <w:rFonts w:hint="eastAsia" w:ascii="宋体" w:hAnsi="宋体" w:eastAsia="宋体" w:cs="宋体"/>
          <w:sz w:val="24"/>
          <w:szCs w:val="24"/>
          <w:lang w:val="en-US" w:eastAsia="zh-CN"/>
        </w:rPr>
        <w:t>如针对烟酒、娱乐场所、网吧、住宿场所的违法经营对未成年人的不良影响以及校园周边食品安全问题，发出诉前检察建议9件，得到了各职能部门的支持和重视。又</w:t>
      </w:r>
      <w:r>
        <w:rPr>
          <w:rFonts w:hint="eastAsia" w:ascii="宋体" w:hAnsi="宋体" w:eastAsia="宋体" w:cs="宋体"/>
          <w:sz w:val="24"/>
          <w:szCs w:val="24"/>
          <w:lang w:eastAsia="zh-CN"/>
        </w:rPr>
        <w:t>如通过调阅近两年该院办理的案发地为旅馆等住宿场所的涉未成年人</w:t>
      </w:r>
      <w:r>
        <w:rPr>
          <w:rFonts w:hint="eastAsia" w:ascii="宋体" w:hAnsi="宋体" w:eastAsia="宋体" w:cs="宋体"/>
          <w:sz w:val="24"/>
          <w:szCs w:val="24"/>
          <w:lang w:val="en-US" w:eastAsia="zh-CN"/>
        </w:rPr>
        <w:t>性侵案、寻衅滋事、聚众斗殴等刑事案件卷宗，对涉案多间住宿场所进行走访、调查取证，发现23间旅馆等住宿场所未按规定接待未成年人入住的线索后，向区公安局发出磋商函和诉前检察建议，及时组织联同区委政法委、区公安局、市、区二级文化广电旅游体育局以及旅馆、公寓从业代表、学生家长代表、学校老师代表召开监督保护未成年人入住住宿场所磋商会共商对策，推动和促进区公安局对涉案的23间住宿场所依法进行查处，第一时间完善辖区住宿登记系统</w:t>
      </w:r>
      <w:r>
        <w:rPr>
          <w:rStyle w:val="10"/>
          <w:rFonts w:hint="eastAsia" w:ascii="宋体" w:hAnsi="宋体" w:eastAsia="宋体" w:cs="宋体"/>
          <w:sz w:val="24"/>
          <w:szCs w:val="24"/>
          <w:lang w:val="en-US" w:eastAsia="zh-CN"/>
        </w:rPr>
        <w:footnoteReference w:id="4"/>
      </w:r>
      <w:r>
        <w:rPr>
          <w:rFonts w:hint="eastAsia" w:ascii="宋体" w:hAnsi="宋体" w:eastAsia="宋体" w:cs="宋体"/>
          <w:sz w:val="24"/>
          <w:szCs w:val="24"/>
          <w:lang w:val="en-US" w:eastAsia="zh-CN"/>
        </w:rPr>
        <w:t>，通过加强片区管控、规范场所告示、落实普法宣传等一系列措施，进一步完善了未成年人入住住宿场所的监管机制</w:t>
      </w:r>
      <w:r>
        <w:rPr>
          <w:rFonts w:hint="eastAsia" w:hAnsi="宋体" w:cs="宋体"/>
          <w:sz w:val="24"/>
          <w:szCs w:val="24"/>
          <w:lang w:val="en-US" w:eastAsia="zh-CN"/>
        </w:rPr>
        <w:t>等</w:t>
      </w:r>
      <w:r>
        <w:rPr>
          <w:rFonts w:hint="eastAsia" w:ascii="宋体" w:hAnsi="宋体" w:eastAsia="宋体" w:cs="宋体"/>
          <w:sz w:val="24"/>
          <w:szCs w:val="24"/>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ascii="楷体" w:hAnsi="楷体" w:eastAsia="楷体" w:cs="楷体"/>
          <w:sz w:val="28"/>
          <w:szCs w:val="28"/>
        </w:rPr>
      </w:pPr>
      <w:r>
        <w:rPr>
          <w:rFonts w:hint="eastAsia" w:ascii="楷体" w:hAnsi="楷体" w:eastAsia="楷体" w:cs="楷体"/>
          <w:sz w:val="28"/>
          <w:szCs w:val="28"/>
        </w:rPr>
        <w:t>表1：顺德区检察院2017年以来未成年人行政公益诉讼办案数</w:t>
      </w:r>
    </w:p>
    <w:tbl>
      <w:tblPr>
        <w:tblStyle w:val="8"/>
        <w:tblW w:w="81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67"/>
        <w:gridCol w:w="652"/>
        <w:gridCol w:w="450"/>
        <w:gridCol w:w="1069"/>
        <w:gridCol w:w="2012"/>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pPr>
              <w:pStyle w:val="2"/>
              <w:jc w:val="center"/>
              <w:rPr>
                <w:rFonts w:hAnsi="宋体"/>
              </w:rPr>
            </w:pPr>
            <w:r>
              <w:rPr>
                <w:rFonts w:hint="eastAsia" w:hAnsi="宋体"/>
              </w:rPr>
              <w:t>年份</w:t>
            </w:r>
          </w:p>
        </w:tc>
        <w:tc>
          <w:tcPr>
            <w:tcW w:w="567" w:type="dxa"/>
            <w:noWrap w:val="0"/>
            <w:vAlign w:val="top"/>
          </w:tcPr>
          <w:p>
            <w:pPr>
              <w:pStyle w:val="2"/>
              <w:jc w:val="center"/>
              <w:rPr>
                <w:rFonts w:hAnsi="宋体"/>
              </w:rPr>
            </w:pPr>
            <w:r>
              <w:rPr>
                <w:rFonts w:hint="eastAsia" w:hAnsi="宋体"/>
              </w:rPr>
              <w:t>办案数</w:t>
            </w:r>
          </w:p>
        </w:tc>
        <w:tc>
          <w:tcPr>
            <w:tcW w:w="652" w:type="dxa"/>
            <w:noWrap w:val="0"/>
            <w:vAlign w:val="top"/>
          </w:tcPr>
          <w:p>
            <w:pPr>
              <w:pStyle w:val="2"/>
              <w:jc w:val="center"/>
              <w:rPr>
                <w:rFonts w:hAnsi="宋体"/>
              </w:rPr>
            </w:pPr>
            <w:r>
              <w:rPr>
                <w:rFonts w:hint="eastAsia" w:hAnsi="宋体"/>
              </w:rPr>
              <w:t>诉前检察建议</w:t>
            </w:r>
          </w:p>
        </w:tc>
        <w:tc>
          <w:tcPr>
            <w:tcW w:w="450" w:type="dxa"/>
            <w:noWrap w:val="0"/>
            <w:vAlign w:val="top"/>
          </w:tcPr>
          <w:p>
            <w:pPr>
              <w:pStyle w:val="2"/>
              <w:jc w:val="center"/>
              <w:rPr>
                <w:rFonts w:hAnsi="宋体"/>
              </w:rPr>
            </w:pPr>
            <w:r>
              <w:rPr>
                <w:rFonts w:hint="eastAsia" w:hAnsi="宋体"/>
              </w:rPr>
              <w:t>磋商</w:t>
            </w:r>
          </w:p>
        </w:tc>
        <w:tc>
          <w:tcPr>
            <w:tcW w:w="1069" w:type="dxa"/>
            <w:noWrap w:val="0"/>
            <w:vAlign w:val="top"/>
          </w:tcPr>
          <w:p>
            <w:pPr>
              <w:pStyle w:val="2"/>
              <w:jc w:val="center"/>
              <w:rPr>
                <w:rFonts w:hAnsi="宋体"/>
              </w:rPr>
            </w:pPr>
            <w:r>
              <w:rPr>
                <w:rFonts w:hint="eastAsia" w:hAnsi="宋体"/>
              </w:rPr>
              <w:t>生态环境资源保护</w:t>
            </w:r>
          </w:p>
        </w:tc>
        <w:tc>
          <w:tcPr>
            <w:tcW w:w="2012" w:type="dxa"/>
            <w:noWrap w:val="0"/>
            <w:vAlign w:val="top"/>
          </w:tcPr>
          <w:p>
            <w:pPr>
              <w:pStyle w:val="2"/>
              <w:jc w:val="center"/>
              <w:rPr>
                <w:rFonts w:hAnsi="宋体"/>
              </w:rPr>
            </w:pPr>
            <w:r>
              <w:rPr>
                <w:rFonts w:hint="eastAsia" w:hAnsi="宋体"/>
              </w:rPr>
              <w:t>食品药品安全</w:t>
            </w:r>
          </w:p>
        </w:tc>
        <w:tc>
          <w:tcPr>
            <w:tcW w:w="2250" w:type="dxa"/>
            <w:noWrap w:val="0"/>
            <w:vAlign w:val="top"/>
          </w:tcPr>
          <w:p>
            <w:pPr>
              <w:pStyle w:val="2"/>
              <w:jc w:val="center"/>
              <w:rPr>
                <w:rFonts w:hAnsi="宋体"/>
              </w:rPr>
            </w:pPr>
            <w:r>
              <w:rPr>
                <w:rFonts w:hint="eastAsia" w:hAnsi="宋体"/>
              </w:rPr>
              <w:t>等外或新领域探索</w:t>
            </w:r>
            <w:r>
              <w:rPr>
                <w:rStyle w:val="10"/>
                <w:rFonts w:hint="eastAsia" w:hAnsi="宋体"/>
              </w:rPr>
              <w:footnoteReference w:id="5"/>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pPr>
              <w:pStyle w:val="2"/>
              <w:rPr>
                <w:rFonts w:hAnsi="宋体"/>
              </w:rPr>
            </w:pPr>
            <w:r>
              <w:rPr>
                <w:rFonts w:hint="eastAsia" w:hAnsi="宋体"/>
              </w:rPr>
              <w:t>2017年</w:t>
            </w:r>
          </w:p>
        </w:tc>
        <w:tc>
          <w:tcPr>
            <w:tcW w:w="567" w:type="dxa"/>
            <w:noWrap w:val="0"/>
            <w:vAlign w:val="top"/>
          </w:tcPr>
          <w:p>
            <w:pPr>
              <w:pStyle w:val="2"/>
              <w:rPr>
                <w:rFonts w:hAnsi="宋体"/>
              </w:rPr>
            </w:pPr>
            <w:r>
              <w:rPr>
                <w:rFonts w:hint="eastAsia" w:hAnsi="宋体"/>
              </w:rPr>
              <w:t>1</w:t>
            </w:r>
          </w:p>
        </w:tc>
        <w:tc>
          <w:tcPr>
            <w:tcW w:w="652" w:type="dxa"/>
            <w:noWrap w:val="0"/>
            <w:vAlign w:val="top"/>
          </w:tcPr>
          <w:p>
            <w:pPr>
              <w:pStyle w:val="2"/>
              <w:rPr>
                <w:rFonts w:hAnsi="宋体"/>
              </w:rPr>
            </w:pPr>
            <w:r>
              <w:rPr>
                <w:rFonts w:hint="eastAsia" w:hAnsi="宋体"/>
              </w:rPr>
              <w:t>1</w:t>
            </w:r>
          </w:p>
        </w:tc>
        <w:tc>
          <w:tcPr>
            <w:tcW w:w="450" w:type="dxa"/>
            <w:noWrap w:val="0"/>
            <w:vAlign w:val="top"/>
          </w:tcPr>
          <w:p>
            <w:pPr>
              <w:pStyle w:val="2"/>
              <w:rPr>
                <w:rFonts w:hAnsi="宋体"/>
              </w:rPr>
            </w:pPr>
            <w:r>
              <w:rPr>
                <w:rFonts w:hint="eastAsia" w:hAnsi="宋体"/>
              </w:rPr>
              <w:t>0</w:t>
            </w:r>
          </w:p>
        </w:tc>
        <w:tc>
          <w:tcPr>
            <w:tcW w:w="1069" w:type="dxa"/>
            <w:noWrap w:val="0"/>
            <w:vAlign w:val="top"/>
          </w:tcPr>
          <w:p>
            <w:pPr>
              <w:pStyle w:val="2"/>
              <w:rPr>
                <w:rFonts w:hAnsi="宋体"/>
              </w:rPr>
            </w:pPr>
            <w:r>
              <w:rPr>
                <w:rFonts w:hint="eastAsia" w:hAnsi="宋体"/>
              </w:rPr>
              <w:t>0</w:t>
            </w:r>
          </w:p>
        </w:tc>
        <w:tc>
          <w:tcPr>
            <w:tcW w:w="2012" w:type="dxa"/>
            <w:noWrap w:val="0"/>
            <w:vAlign w:val="top"/>
          </w:tcPr>
          <w:p>
            <w:pPr>
              <w:pStyle w:val="2"/>
              <w:rPr>
                <w:rFonts w:hAnsi="宋体"/>
              </w:rPr>
            </w:pPr>
            <w:r>
              <w:rPr>
                <w:rFonts w:hint="eastAsia" w:hAnsi="宋体"/>
              </w:rPr>
              <w:t>0</w:t>
            </w:r>
          </w:p>
        </w:tc>
        <w:tc>
          <w:tcPr>
            <w:tcW w:w="2250" w:type="dxa"/>
            <w:noWrap w:val="0"/>
            <w:vAlign w:val="top"/>
          </w:tcPr>
          <w:p>
            <w:pPr>
              <w:pStyle w:val="2"/>
              <w:rPr>
                <w:rFonts w:hAnsi="宋体"/>
              </w:rPr>
            </w:pPr>
            <w:r>
              <w:rPr>
                <w:rFonts w:hint="eastAsia" w:hAnsi="宋体"/>
              </w:rPr>
              <w:t>1（民办学校招生）</w:t>
            </w:r>
            <w:r>
              <w:rPr>
                <w:rStyle w:val="10"/>
                <w:rFonts w:hint="eastAsia" w:hAnsi="宋体"/>
              </w:rPr>
              <w:footnoteReference w:id="6"/>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pPr>
              <w:pStyle w:val="2"/>
              <w:rPr>
                <w:rFonts w:hAnsi="宋体"/>
              </w:rPr>
            </w:pPr>
            <w:r>
              <w:rPr>
                <w:rFonts w:hint="eastAsia" w:hAnsi="宋体"/>
              </w:rPr>
              <w:t>2018年</w:t>
            </w:r>
          </w:p>
        </w:tc>
        <w:tc>
          <w:tcPr>
            <w:tcW w:w="567" w:type="dxa"/>
            <w:noWrap w:val="0"/>
            <w:vAlign w:val="top"/>
          </w:tcPr>
          <w:p>
            <w:pPr>
              <w:pStyle w:val="2"/>
              <w:rPr>
                <w:rFonts w:hAnsi="宋体"/>
              </w:rPr>
            </w:pPr>
            <w:r>
              <w:rPr>
                <w:rFonts w:hint="eastAsia" w:hAnsi="宋体"/>
              </w:rPr>
              <w:t>0</w:t>
            </w:r>
          </w:p>
        </w:tc>
        <w:tc>
          <w:tcPr>
            <w:tcW w:w="652" w:type="dxa"/>
            <w:noWrap w:val="0"/>
            <w:vAlign w:val="top"/>
          </w:tcPr>
          <w:p>
            <w:pPr>
              <w:pStyle w:val="2"/>
              <w:rPr>
                <w:rFonts w:hAnsi="宋体"/>
              </w:rPr>
            </w:pPr>
            <w:r>
              <w:rPr>
                <w:rFonts w:hint="eastAsia" w:hAnsi="宋体"/>
              </w:rPr>
              <w:t>0</w:t>
            </w:r>
          </w:p>
        </w:tc>
        <w:tc>
          <w:tcPr>
            <w:tcW w:w="450" w:type="dxa"/>
            <w:noWrap w:val="0"/>
            <w:vAlign w:val="top"/>
          </w:tcPr>
          <w:p>
            <w:pPr>
              <w:pStyle w:val="2"/>
              <w:rPr>
                <w:rFonts w:hAnsi="宋体"/>
              </w:rPr>
            </w:pPr>
            <w:r>
              <w:rPr>
                <w:rFonts w:hint="eastAsia" w:hAnsi="宋体"/>
              </w:rPr>
              <w:t>0</w:t>
            </w:r>
          </w:p>
        </w:tc>
        <w:tc>
          <w:tcPr>
            <w:tcW w:w="1069" w:type="dxa"/>
            <w:noWrap w:val="0"/>
            <w:vAlign w:val="top"/>
          </w:tcPr>
          <w:p>
            <w:pPr>
              <w:pStyle w:val="2"/>
              <w:rPr>
                <w:rFonts w:hAnsi="宋体"/>
              </w:rPr>
            </w:pPr>
            <w:r>
              <w:rPr>
                <w:rFonts w:hint="eastAsia" w:hAnsi="宋体"/>
              </w:rPr>
              <w:t>0</w:t>
            </w:r>
          </w:p>
        </w:tc>
        <w:tc>
          <w:tcPr>
            <w:tcW w:w="2012" w:type="dxa"/>
            <w:noWrap w:val="0"/>
            <w:vAlign w:val="top"/>
          </w:tcPr>
          <w:p>
            <w:pPr>
              <w:pStyle w:val="2"/>
              <w:rPr>
                <w:rFonts w:hAnsi="宋体"/>
              </w:rPr>
            </w:pPr>
            <w:r>
              <w:rPr>
                <w:rFonts w:hint="eastAsia" w:hAnsi="宋体"/>
              </w:rPr>
              <w:t>0</w:t>
            </w:r>
          </w:p>
        </w:tc>
        <w:tc>
          <w:tcPr>
            <w:tcW w:w="2250" w:type="dxa"/>
            <w:noWrap w:val="0"/>
            <w:vAlign w:val="top"/>
          </w:tcPr>
          <w:p>
            <w:pPr>
              <w:pStyle w:val="2"/>
              <w:rPr>
                <w:rFonts w:hAnsi="宋体"/>
              </w:rPr>
            </w:pPr>
            <w:r>
              <w:rPr>
                <w:rFonts w:hint="eastAsia" w:hAnsi="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pPr>
              <w:pStyle w:val="2"/>
              <w:rPr>
                <w:rFonts w:hAnsi="宋体"/>
              </w:rPr>
            </w:pPr>
            <w:r>
              <w:rPr>
                <w:rFonts w:hint="eastAsia" w:hAnsi="宋体"/>
              </w:rPr>
              <w:t>2019年</w:t>
            </w:r>
          </w:p>
        </w:tc>
        <w:tc>
          <w:tcPr>
            <w:tcW w:w="567" w:type="dxa"/>
            <w:noWrap w:val="0"/>
            <w:vAlign w:val="top"/>
          </w:tcPr>
          <w:p>
            <w:pPr>
              <w:pStyle w:val="2"/>
              <w:rPr>
                <w:rFonts w:hAnsi="宋体"/>
              </w:rPr>
            </w:pPr>
            <w:r>
              <w:rPr>
                <w:rFonts w:hint="eastAsia" w:hAnsi="宋体"/>
              </w:rPr>
              <w:t>3</w:t>
            </w:r>
          </w:p>
        </w:tc>
        <w:tc>
          <w:tcPr>
            <w:tcW w:w="652" w:type="dxa"/>
            <w:noWrap w:val="0"/>
            <w:vAlign w:val="top"/>
          </w:tcPr>
          <w:p>
            <w:pPr>
              <w:pStyle w:val="2"/>
              <w:rPr>
                <w:rFonts w:hAnsi="宋体"/>
              </w:rPr>
            </w:pPr>
            <w:r>
              <w:rPr>
                <w:rFonts w:hint="eastAsia" w:hAnsi="宋体"/>
              </w:rPr>
              <w:t>3</w:t>
            </w:r>
          </w:p>
        </w:tc>
        <w:tc>
          <w:tcPr>
            <w:tcW w:w="450" w:type="dxa"/>
            <w:noWrap w:val="0"/>
            <w:vAlign w:val="top"/>
          </w:tcPr>
          <w:p>
            <w:pPr>
              <w:pStyle w:val="2"/>
              <w:rPr>
                <w:rFonts w:hAnsi="宋体"/>
              </w:rPr>
            </w:pPr>
            <w:r>
              <w:rPr>
                <w:rFonts w:hint="eastAsia" w:hAnsi="宋体"/>
              </w:rPr>
              <w:t>0</w:t>
            </w:r>
          </w:p>
        </w:tc>
        <w:tc>
          <w:tcPr>
            <w:tcW w:w="1069" w:type="dxa"/>
            <w:noWrap w:val="0"/>
            <w:vAlign w:val="top"/>
          </w:tcPr>
          <w:p>
            <w:pPr>
              <w:pStyle w:val="2"/>
              <w:rPr>
                <w:rFonts w:hAnsi="宋体"/>
              </w:rPr>
            </w:pPr>
            <w:r>
              <w:rPr>
                <w:rFonts w:hint="eastAsia" w:hAnsi="宋体"/>
              </w:rPr>
              <w:t>0</w:t>
            </w:r>
          </w:p>
        </w:tc>
        <w:tc>
          <w:tcPr>
            <w:tcW w:w="2012" w:type="dxa"/>
            <w:noWrap w:val="0"/>
            <w:vAlign w:val="top"/>
          </w:tcPr>
          <w:p>
            <w:pPr>
              <w:pStyle w:val="2"/>
              <w:rPr>
                <w:rFonts w:hAnsi="宋体"/>
              </w:rPr>
            </w:pPr>
            <w:r>
              <w:rPr>
                <w:rFonts w:hint="eastAsia" w:hAnsi="宋体"/>
              </w:rPr>
              <w:t>3（药品、乳粉、进品食品）</w:t>
            </w:r>
          </w:p>
        </w:tc>
        <w:tc>
          <w:tcPr>
            <w:tcW w:w="2250" w:type="dxa"/>
            <w:noWrap w:val="0"/>
            <w:vAlign w:val="top"/>
          </w:tcPr>
          <w:p>
            <w:pPr>
              <w:pStyle w:val="2"/>
              <w:rPr>
                <w:rFonts w:hAnsi="宋体"/>
              </w:rPr>
            </w:pPr>
            <w:r>
              <w:rPr>
                <w:rFonts w:hint="eastAsia" w:hAnsi="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pPr>
              <w:pStyle w:val="2"/>
              <w:rPr>
                <w:rFonts w:hAnsi="宋体"/>
              </w:rPr>
            </w:pPr>
            <w:r>
              <w:rPr>
                <w:rFonts w:hint="eastAsia" w:hAnsi="宋体"/>
              </w:rPr>
              <w:t>2020年</w:t>
            </w:r>
          </w:p>
        </w:tc>
        <w:tc>
          <w:tcPr>
            <w:tcW w:w="567" w:type="dxa"/>
            <w:noWrap w:val="0"/>
            <w:vAlign w:val="top"/>
          </w:tcPr>
          <w:p>
            <w:pPr>
              <w:pStyle w:val="2"/>
              <w:rPr>
                <w:rFonts w:hAnsi="宋体"/>
              </w:rPr>
            </w:pPr>
            <w:r>
              <w:rPr>
                <w:rFonts w:hint="eastAsia" w:hAnsi="宋体"/>
              </w:rPr>
              <w:t>64</w:t>
            </w:r>
          </w:p>
        </w:tc>
        <w:tc>
          <w:tcPr>
            <w:tcW w:w="652" w:type="dxa"/>
            <w:noWrap w:val="0"/>
            <w:vAlign w:val="top"/>
          </w:tcPr>
          <w:p>
            <w:pPr>
              <w:pStyle w:val="2"/>
              <w:rPr>
                <w:rFonts w:hAnsi="宋体"/>
              </w:rPr>
            </w:pPr>
            <w:r>
              <w:rPr>
                <w:rFonts w:hint="eastAsia" w:hAnsi="宋体"/>
              </w:rPr>
              <w:t>7</w:t>
            </w:r>
          </w:p>
        </w:tc>
        <w:tc>
          <w:tcPr>
            <w:tcW w:w="450" w:type="dxa"/>
            <w:noWrap w:val="0"/>
            <w:vAlign w:val="top"/>
          </w:tcPr>
          <w:p>
            <w:pPr>
              <w:pStyle w:val="2"/>
              <w:rPr>
                <w:rFonts w:hAnsi="宋体"/>
              </w:rPr>
            </w:pPr>
            <w:r>
              <w:rPr>
                <w:rFonts w:hint="eastAsia" w:hAnsi="宋体"/>
              </w:rPr>
              <w:t>0</w:t>
            </w:r>
          </w:p>
        </w:tc>
        <w:tc>
          <w:tcPr>
            <w:tcW w:w="1069" w:type="dxa"/>
            <w:noWrap w:val="0"/>
            <w:vAlign w:val="top"/>
          </w:tcPr>
          <w:p>
            <w:pPr>
              <w:pStyle w:val="2"/>
              <w:rPr>
                <w:rFonts w:hAnsi="宋体"/>
              </w:rPr>
            </w:pPr>
            <w:r>
              <w:rPr>
                <w:rFonts w:hint="eastAsia" w:hAnsi="宋体"/>
              </w:rPr>
              <w:t>0</w:t>
            </w:r>
          </w:p>
        </w:tc>
        <w:tc>
          <w:tcPr>
            <w:tcW w:w="2012" w:type="dxa"/>
            <w:noWrap w:val="0"/>
            <w:vAlign w:val="top"/>
          </w:tcPr>
          <w:p>
            <w:pPr>
              <w:pStyle w:val="2"/>
              <w:rPr>
                <w:rFonts w:hAnsi="宋体"/>
              </w:rPr>
            </w:pPr>
            <w:r>
              <w:rPr>
                <w:rFonts w:hint="eastAsia" w:hAnsi="宋体"/>
              </w:rPr>
              <w:t>51（学校周边销售香烟3宗、销售散装食品1宗、未依法设置不向未成年人售酒标志47件）</w:t>
            </w:r>
          </w:p>
        </w:tc>
        <w:tc>
          <w:tcPr>
            <w:tcW w:w="2250" w:type="dxa"/>
            <w:noWrap w:val="0"/>
            <w:vAlign w:val="top"/>
          </w:tcPr>
          <w:p>
            <w:pPr>
              <w:pStyle w:val="2"/>
              <w:rPr>
                <w:rFonts w:hAnsi="宋体"/>
              </w:rPr>
            </w:pPr>
            <w:r>
              <w:rPr>
                <w:rFonts w:hint="eastAsia" w:hAnsi="宋体"/>
              </w:rPr>
              <w:t>13(1宗学生产品质量，12宗娱乐场所违法接纳、招用未成年人）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pPr>
              <w:pStyle w:val="2"/>
              <w:rPr>
                <w:rFonts w:hAnsi="宋体"/>
              </w:rPr>
            </w:pPr>
            <w:r>
              <w:rPr>
                <w:rFonts w:hint="eastAsia" w:hAnsi="宋体"/>
              </w:rPr>
              <w:t>2021年</w:t>
            </w:r>
          </w:p>
        </w:tc>
        <w:tc>
          <w:tcPr>
            <w:tcW w:w="567" w:type="dxa"/>
            <w:noWrap w:val="0"/>
            <w:vAlign w:val="top"/>
          </w:tcPr>
          <w:p>
            <w:pPr>
              <w:pStyle w:val="2"/>
              <w:rPr>
                <w:rFonts w:hint="eastAsia" w:hAnsi="宋体" w:eastAsia="宋体"/>
                <w:lang w:eastAsia="zh-CN"/>
              </w:rPr>
            </w:pPr>
            <w:r>
              <w:rPr>
                <w:rFonts w:hint="eastAsia" w:hAnsi="宋体"/>
              </w:rPr>
              <w:t>4</w:t>
            </w:r>
            <w:r>
              <w:rPr>
                <w:rFonts w:hint="eastAsia" w:hAnsi="宋体"/>
                <w:lang w:val="en-US" w:eastAsia="zh-CN"/>
              </w:rPr>
              <w:t>5</w:t>
            </w:r>
          </w:p>
        </w:tc>
        <w:tc>
          <w:tcPr>
            <w:tcW w:w="652" w:type="dxa"/>
            <w:noWrap w:val="0"/>
            <w:vAlign w:val="top"/>
          </w:tcPr>
          <w:p>
            <w:pPr>
              <w:pStyle w:val="2"/>
              <w:rPr>
                <w:rFonts w:hAnsi="宋体"/>
              </w:rPr>
            </w:pPr>
            <w:r>
              <w:rPr>
                <w:rFonts w:hint="eastAsia" w:hAnsi="宋体"/>
              </w:rPr>
              <w:t>2</w:t>
            </w:r>
          </w:p>
        </w:tc>
        <w:tc>
          <w:tcPr>
            <w:tcW w:w="450" w:type="dxa"/>
            <w:noWrap w:val="0"/>
            <w:vAlign w:val="top"/>
          </w:tcPr>
          <w:p>
            <w:pPr>
              <w:pStyle w:val="2"/>
              <w:rPr>
                <w:rFonts w:hAnsi="宋体"/>
              </w:rPr>
            </w:pPr>
            <w:r>
              <w:rPr>
                <w:rFonts w:hint="eastAsia" w:hAnsi="宋体"/>
              </w:rPr>
              <w:t>7</w:t>
            </w:r>
          </w:p>
        </w:tc>
        <w:tc>
          <w:tcPr>
            <w:tcW w:w="1069" w:type="dxa"/>
            <w:noWrap w:val="0"/>
            <w:vAlign w:val="top"/>
          </w:tcPr>
          <w:p>
            <w:pPr>
              <w:pStyle w:val="2"/>
              <w:rPr>
                <w:rFonts w:hAnsi="宋体"/>
              </w:rPr>
            </w:pPr>
            <w:r>
              <w:rPr>
                <w:rFonts w:hint="eastAsia" w:hAnsi="宋体"/>
              </w:rPr>
              <w:t>0</w:t>
            </w:r>
          </w:p>
        </w:tc>
        <w:tc>
          <w:tcPr>
            <w:tcW w:w="2012" w:type="dxa"/>
            <w:noWrap w:val="0"/>
            <w:vAlign w:val="top"/>
          </w:tcPr>
          <w:p>
            <w:pPr>
              <w:pStyle w:val="2"/>
              <w:rPr>
                <w:rFonts w:hAnsi="宋体"/>
              </w:rPr>
            </w:pPr>
            <w:r>
              <w:rPr>
                <w:rFonts w:hint="eastAsia" w:hAnsi="宋体"/>
              </w:rPr>
              <w:t>0</w:t>
            </w:r>
          </w:p>
        </w:tc>
        <w:tc>
          <w:tcPr>
            <w:tcW w:w="2250" w:type="dxa"/>
            <w:noWrap w:val="0"/>
            <w:vAlign w:val="top"/>
          </w:tcPr>
          <w:p>
            <w:pPr>
              <w:pStyle w:val="2"/>
              <w:rPr>
                <w:rFonts w:hAnsi="宋体"/>
              </w:rPr>
            </w:pPr>
            <w:r>
              <w:rPr>
                <w:rFonts w:hint="eastAsia" w:hAnsi="宋体"/>
              </w:rPr>
              <w:t>4</w:t>
            </w:r>
            <w:r>
              <w:rPr>
                <w:rFonts w:hint="eastAsia" w:hAnsi="宋体"/>
                <w:lang w:val="en-US" w:eastAsia="zh-CN"/>
              </w:rPr>
              <w:t>5</w:t>
            </w:r>
            <w:r>
              <w:rPr>
                <w:rFonts w:hint="eastAsia" w:hAnsi="宋体"/>
              </w:rPr>
              <w:t>（娱乐场所招用未成年人1宗，校园周边问题窨井盖22宗，网吧违法接纳未成年人5宗，住宿场所违法接纳未成年人 1</w:t>
            </w:r>
            <w:r>
              <w:rPr>
                <w:rFonts w:hint="eastAsia" w:hAnsi="宋体"/>
                <w:lang w:val="en-US" w:eastAsia="zh-CN"/>
              </w:rPr>
              <w:t>7</w:t>
            </w:r>
            <w:r>
              <w:rPr>
                <w:rFonts w:hint="eastAsia" w:hAnsi="宋体"/>
              </w:rPr>
              <w:t>宗）</w:t>
            </w:r>
          </w:p>
        </w:tc>
      </w:tr>
    </w:tbl>
    <w:p>
      <w:pPr>
        <w:pStyle w:val="2"/>
        <w:jc w:val="center"/>
        <w:rPr>
          <w:rFonts w:ascii="楷体" w:hAnsi="楷体" w:eastAsia="楷体" w:cs="楷体"/>
          <w:sz w:val="28"/>
          <w:szCs w:val="28"/>
        </w:rPr>
      </w:pPr>
      <w:r>
        <w:rPr>
          <w:rFonts w:hint="eastAsia" w:ascii="楷体" w:hAnsi="楷体" w:eastAsia="楷体" w:cs="楷体"/>
          <w:sz w:val="28"/>
          <w:szCs w:val="28"/>
        </w:rPr>
        <w:t>表2：顺德区检察院办理未成年人行政公益诉讼案件所涉领域</w:t>
      </w:r>
    </w:p>
    <w:tbl>
      <w:tblPr>
        <w:tblStyle w:val="8"/>
        <w:tblW w:w="81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95"/>
        <w:gridCol w:w="587"/>
        <w:gridCol w:w="853"/>
        <w:gridCol w:w="722"/>
        <w:gridCol w:w="581"/>
        <w:gridCol w:w="434"/>
        <w:gridCol w:w="963"/>
        <w:gridCol w:w="990"/>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pPr>
              <w:pStyle w:val="2"/>
              <w:jc w:val="center"/>
              <w:rPr>
                <w:rFonts w:hAnsi="宋体"/>
              </w:rPr>
            </w:pPr>
            <w:r>
              <w:rPr>
                <w:rFonts w:hint="eastAsia" w:hAnsi="宋体"/>
              </w:rPr>
              <w:t>年份</w:t>
            </w:r>
          </w:p>
        </w:tc>
        <w:tc>
          <w:tcPr>
            <w:tcW w:w="595" w:type="dxa"/>
            <w:noWrap w:val="0"/>
            <w:vAlign w:val="top"/>
          </w:tcPr>
          <w:p>
            <w:pPr>
              <w:pStyle w:val="2"/>
              <w:jc w:val="center"/>
              <w:rPr>
                <w:rFonts w:hAnsi="宋体"/>
              </w:rPr>
            </w:pPr>
            <w:r>
              <w:rPr>
                <w:rFonts w:hint="eastAsia" w:hAnsi="宋体"/>
              </w:rPr>
              <w:t>办案数</w:t>
            </w:r>
          </w:p>
        </w:tc>
        <w:tc>
          <w:tcPr>
            <w:tcW w:w="587" w:type="dxa"/>
            <w:noWrap w:val="0"/>
            <w:vAlign w:val="top"/>
          </w:tcPr>
          <w:p>
            <w:pPr>
              <w:pStyle w:val="2"/>
              <w:jc w:val="center"/>
              <w:rPr>
                <w:rFonts w:hAnsi="宋体"/>
              </w:rPr>
            </w:pPr>
            <w:r>
              <w:rPr>
                <w:rFonts w:hint="eastAsia" w:hAnsi="宋体"/>
              </w:rPr>
              <w:t>食品药品安全</w:t>
            </w:r>
          </w:p>
        </w:tc>
        <w:tc>
          <w:tcPr>
            <w:tcW w:w="853" w:type="dxa"/>
            <w:noWrap w:val="0"/>
            <w:vAlign w:val="top"/>
          </w:tcPr>
          <w:p>
            <w:pPr>
              <w:pStyle w:val="2"/>
              <w:jc w:val="center"/>
              <w:rPr>
                <w:rFonts w:hAnsi="宋体"/>
              </w:rPr>
            </w:pPr>
            <w:r>
              <w:rPr>
                <w:rFonts w:hint="eastAsia" w:hAnsi="宋体"/>
              </w:rPr>
              <w:t>生态环境和资源保护</w:t>
            </w:r>
          </w:p>
        </w:tc>
        <w:tc>
          <w:tcPr>
            <w:tcW w:w="722" w:type="dxa"/>
            <w:noWrap w:val="0"/>
            <w:vAlign w:val="top"/>
          </w:tcPr>
          <w:p>
            <w:pPr>
              <w:pStyle w:val="2"/>
              <w:jc w:val="center"/>
              <w:rPr>
                <w:rFonts w:hAnsi="宋体"/>
              </w:rPr>
            </w:pPr>
            <w:r>
              <w:rPr>
                <w:rFonts w:hint="eastAsia" w:hAnsi="宋体"/>
              </w:rPr>
              <w:t>学生产品质量</w:t>
            </w:r>
          </w:p>
        </w:tc>
        <w:tc>
          <w:tcPr>
            <w:tcW w:w="581" w:type="dxa"/>
            <w:noWrap w:val="0"/>
            <w:vAlign w:val="top"/>
          </w:tcPr>
          <w:p>
            <w:pPr>
              <w:pStyle w:val="2"/>
              <w:jc w:val="center"/>
              <w:rPr>
                <w:rFonts w:hAnsi="宋体"/>
              </w:rPr>
            </w:pPr>
            <w:r>
              <w:rPr>
                <w:rFonts w:hint="eastAsia" w:hAnsi="宋体"/>
              </w:rPr>
              <w:t>学校招生</w:t>
            </w:r>
          </w:p>
        </w:tc>
        <w:tc>
          <w:tcPr>
            <w:tcW w:w="434" w:type="dxa"/>
            <w:noWrap w:val="0"/>
            <w:vAlign w:val="top"/>
          </w:tcPr>
          <w:p>
            <w:pPr>
              <w:pStyle w:val="2"/>
              <w:jc w:val="center"/>
              <w:rPr>
                <w:rFonts w:hAnsi="宋体"/>
              </w:rPr>
            </w:pPr>
            <w:r>
              <w:rPr>
                <w:rFonts w:hint="eastAsia" w:hAnsi="宋体"/>
              </w:rPr>
              <w:t>窨</w:t>
            </w:r>
          </w:p>
          <w:p>
            <w:pPr>
              <w:pStyle w:val="2"/>
              <w:jc w:val="center"/>
              <w:rPr>
                <w:rFonts w:hAnsi="宋体"/>
              </w:rPr>
            </w:pPr>
            <w:r>
              <w:rPr>
                <w:rFonts w:hint="eastAsia" w:hAnsi="宋体"/>
              </w:rPr>
              <w:t>井</w:t>
            </w:r>
          </w:p>
          <w:p>
            <w:pPr>
              <w:pStyle w:val="2"/>
              <w:jc w:val="center"/>
              <w:rPr>
                <w:rFonts w:hAnsi="宋体"/>
              </w:rPr>
            </w:pPr>
            <w:r>
              <w:rPr>
                <w:rFonts w:hint="eastAsia" w:hAnsi="宋体"/>
              </w:rPr>
              <w:t>盖</w:t>
            </w:r>
          </w:p>
        </w:tc>
        <w:tc>
          <w:tcPr>
            <w:tcW w:w="963" w:type="dxa"/>
            <w:noWrap w:val="0"/>
            <w:vAlign w:val="top"/>
          </w:tcPr>
          <w:p>
            <w:pPr>
              <w:pStyle w:val="2"/>
              <w:jc w:val="center"/>
              <w:rPr>
                <w:rFonts w:hAnsi="宋体"/>
              </w:rPr>
            </w:pPr>
            <w:r>
              <w:rPr>
                <w:rFonts w:hint="eastAsia" w:hAnsi="宋体"/>
              </w:rPr>
              <w:t>娱乐场所违法接纳、招用未成年人</w:t>
            </w:r>
          </w:p>
        </w:tc>
        <w:tc>
          <w:tcPr>
            <w:tcW w:w="990" w:type="dxa"/>
            <w:noWrap w:val="0"/>
            <w:vAlign w:val="top"/>
          </w:tcPr>
          <w:p>
            <w:pPr>
              <w:pStyle w:val="2"/>
              <w:jc w:val="center"/>
              <w:rPr>
                <w:rFonts w:hAnsi="宋体"/>
              </w:rPr>
            </w:pPr>
            <w:r>
              <w:rPr>
                <w:rFonts w:hint="eastAsia" w:hAnsi="宋体"/>
              </w:rPr>
              <w:t>网吧违法接纳未成年人</w:t>
            </w:r>
          </w:p>
        </w:tc>
        <w:tc>
          <w:tcPr>
            <w:tcW w:w="1275" w:type="dxa"/>
            <w:noWrap w:val="0"/>
            <w:vAlign w:val="top"/>
          </w:tcPr>
          <w:p>
            <w:pPr>
              <w:pStyle w:val="2"/>
              <w:jc w:val="center"/>
              <w:rPr>
                <w:rFonts w:hAnsi="宋体"/>
              </w:rPr>
            </w:pPr>
            <w:r>
              <w:rPr>
                <w:rFonts w:hint="eastAsia" w:hAnsi="宋体"/>
              </w:rPr>
              <w:t>住宿场所违法接纳未成年人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pPr>
              <w:pStyle w:val="2"/>
              <w:rPr>
                <w:rFonts w:hAnsi="宋体"/>
              </w:rPr>
            </w:pPr>
            <w:r>
              <w:rPr>
                <w:rFonts w:hint="eastAsia" w:hAnsi="宋体"/>
              </w:rPr>
              <w:t>2017年</w:t>
            </w:r>
          </w:p>
        </w:tc>
        <w:tc>
          <w:tcPr>
            <w:tcW w:w="595" w:type="dxa"/>
            <w:noWrap w:val="0"/>
            <w:vAlign w:val="top"/>
          </w:tcPr>
          <w:p>
            <w:pPr>
              <w:pStyle w:val="2"/>
              <w:jc w:val="center"/>
              <w:rPr>
                <w:rFonts w:hAnsi="宋体"/>
              </w:rPr>
            </w:pPr>
            <w:r>
              <w:rPr>
                <w:rFonts w:hint="eastAsia" w:hAnsi="宋体"/>
              </w:rPr>
              <w:t>1</w:t>
            </w:r>
          </w:p>
        </w:tc>
        <w:tc>
          <w:tcPr>
            <w:tcW w:w="587" w:type="dxa"/>
            <w:noWrap w:val="0"/>
            <w:vAlign w:val="top"/>
          </w:tcPr>
          <w:p>
            <w:pPr>
              <w:pStyle w:val="2"/>
              <w:jc w:val="center"/>
              <w:rPr>
                <w:rFonts w:hAnsi="宋体"/>
              </w:rPr>
            </w:pPr>
          </w:p>
        </w:tc>
        <w:tc>
          <w:tcPr>
            <w:tcW w:w="853" w:type="dxa"/>
            <w:noWrap w:val="0"/>
            <w:vAlign w:val="top"/>
          </w:tcPr>
          <w:p>
            <w:pPr>
              <w:pStyle w:val="2"/>
              <w:jc w:val="center"/>
              <w:rPr>
                <w:rFonts w:hAnsi="宋体"/>
              </w:rPr>
            </w:pPr>
          </w:p>
        </w:tc>
        <w:tc>
          <w:tcPr>
            <w:tcW w:w="722" w:type="dxa"/>
            <w:noWrap w:val="0"/>
            <w:vAlign w:val="top"/>
          </w:tcPr>
          <w:p>
            <w:pPr>
              <w:pStyle w:val="2"/>
              <w:jc w:val="center"/>
              <w:rPr>
                <w:rFonts w:hAnsi="宋体"/>
              </w:rPr>
            </w:pPr>
          </w:p>
        </w:tc>
        <w:tc>
          <w:tcPr>
            <w:tcW w:w="581" w:type="dxa"/>
            <w:noWrap w:val="0"/>
            <w:vAlign w:val="top"/>
          </w:tcPr>
          <w:p>
            <w:pPr>
              <w:pStyle w:val="2"/>
              <w:jc w:val="center"/>
              <w:rPr>
                <w:rFonts w:hAnsi="宋体"/>
              </w:rPr>
            </w:pPr>
            <w:r>
              <w:rPr>
                <w:rFonts w:hint="eastAsia" w:hAnsi="宋体"/>
              </w:rPr>
              <w:t>1</w:t>
            </w:r>
          </w:p>
        </w:tc>
        <w:tc>
          <w:tcPr>
            <w:tcW w:w="434" w:type="dxa"/>
            <w:noWrap w:val="0"/>
            <w:vAlign w:val="top"/>
          </w:tcPr>
          <w:p>
            <w:pPr>
              <w:pStyle w:val="2"/>
              <w:jc w:val="center"/>
              <w:rPr>
                <w:rFonts w:hAnsi="宋体"/>
              </w:rPr>
            </w:pPr>
          </w:p>
        </w:tc>
        <w:tc>
          <w:tcPr>
            <w:tcW w:w="963" w:type="dxa"/>
            <w:noWrap w:val="0"/>
            <w:vAlign w:val="top"/>
          </w:tcPr>
          <w:p>
            <w:pPr>
              <w:pStyle w:val="2"/>
              <w:jc w:val="center"/>
              <w:rPr>
                <w:rFonts w:hAnsi="宋体"/>
              </w:rPr>
            </w:pPr>
          </w:p>
        </w:tc>
        <w:tc>
          <w:tcPr>
            <w:tcW w:w="990" w:type="dxa"/>
            <w:noWrap w:val="0"/>
            <w:vAlign w:val="top"/>
          </w:tcPr>
          <w:p>
            <w:pPr>
              <w:pStyle w:val="2"/>
              <w:jc w:val="center"/>
              <w:rPr>
                <w:rFonts w:hAnsi="宋体"/>
                <w:color w:val="C00000"/>
              </w:rPr>
            </w:pPr>
          </w:p>
        </w:tc>
        <w:tc>
          <w:tcPr>
            <w:tcW w:w="1275" w:type="dxa"/>
            <w:noWrap w:val="0"/>
            <w:vAlign w:val="top"/>
          </w:tcPr>
          <w:p>
            <w:pPr>
              <w:pStyle w:val="2"/>
              <w:jc w:val="center"/>
              <w:rPr>
                <w:rFonts w:hAnsi="宋体"/>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pPr>
              <w:pStyle w:val="2"/>
              <w:rPr>
                <w:rFonts w:hAnsi="宋体"/>
              </w:rPr>
            </w:pPr>
            <w:r>
              <w:rPr>
                <w:rFonts w:hint="eastAsia" w:hAnsi="宋体"/>
              </w:rPr>
              <w:t>2018年</w:t>
            </w:r>
          </w:p>
        </w:tc>
        <w:tc>
          <w:tcPr>
            <w:tcW w:w="595" w:type="dxa"/>
            <w:noWrap w:val="0"/>
            <w:vAlign w:val="top"/>
          </w:tcPr>
          <w:p>
            <w:pPr>
              <w:pStyle w:val="2"/>
              <w:jc w:val="center"/>
              <w:rPr>
                <w:rFonts w:hAnsi="宋体"/>
              </w:rPr>
            </w:pPr>
            <w:r>
              <w:rPr>
                <w:rFonts w:hint="eastAsia" w:hAnsi="宋体"/>
              </w:rPr>
              <w:t>0</w:t>
            </w:r>
          </w:p>
        </w:tc>
        <w:tc>
          <w:tcPr>
            <w:tcW w:w="587" w:type="dxa"/>
            <w:noWrap w:val="0"/>
            <w:vAlign w:val="top"/>
          </w:tcPr>
          <w:p>
            <w:pPr>
              <w:pStyle w:val="2"/>
              <w:jc w:val="center"/>
              <w:rPr>
                <w:rFonts w:hAnsi="宋体"/>
              </w:rPr>
            </w:pPr>
          </w:p>
        </w:tc>
        <w:tc>
          <w:tcPr>
            <w:tcW w:w="853" w:type="dxa"/>
            <w:noWrap w:val="0"/>
            <w:vAlign w:val="top"/>
          </w:tcPr>
          <w:p>
            <w:pPr>
              <w:pStyle w:val="2"/>
              <w:jc w:val="center"/>
              <w:rPr>
                <w:rFonts w:hAnsi="宋体"/>
              </w:rPr>
            </w:pPr>
          </w:p>
        </w:tc>
        <w:tc>
          <w:tcPr>
            <w:tcW w:w="722" w:type="dxa"/>
            <w:noWrap w:val="0"/>
            <w:vAlign w:val="top"/>
          </w:tcPr>
          <w:p>
            <w:pPr>
              <w:pStyle w:val="2"/>
              <w:jc w:val="center"/>
              <w:rPr>
                <w:rFonts w:hAnsi="宋体"/>
              </w:rPr>
            </w:pPr>
          </w:p>
        </w:tc>
        <w:tc>
          <w:tcPr>
            <w:tcW w:w="581" w:type="dxa"/>
            <w:noWrap w:val="0"/>
            <w:vAlign w:val="top"/>
          </w:tcPr>
          <w:p>
            <w:pPr>
              <w:pStyle w:val="2"/>
              <w:jc w:val="center"/>
              <w:rPr>
                <w:rFonts w:hAnsi="宋体"/>
              </w:rPr>
            </w:pPr>
          </w:p>
        </w:tc>
        <w:tc>
          <w:tcPr>
            <w:tcW w:w="434" w:type="dxa"/>
            <w:noWrap w:val="0"/>
            <w:vAlign w:val="top"/>
          </w:tcPr>
          <w:p>
            <w:pPr>
              <w:pStyle w:val="2"/>
              <w:jc w:val="center"/>
              <w:rPr>
                <w:rFonts w:hAnsi="宋体"/>
              </w:rPr>
            </w:pPr>
          </w:p>
        </w:tc>
        <w:tc>
          <w:tcPr>
            <w:tcW w:w="963" w:type="dxa"/>
            <w:noWrap w:val="0"/>
            <w:vAlign w:val="top"/>
          </w:tcPr>
          <w:p>
            <w:pPr>
              <w:pStyle w:val="2"/>
              <w:jc w:val="center"/>
              <w:rPr>
                <w:rFonts w:hAnsi="宋体"/>
              </w:rPr>
            </w:pPr>
          </w:p>
        </w:tc>
        <w:tc>
          <w:tcPr>
            <w:tcW w:w="990" w:type="dxa"/>
            <w:noWrap w:val="0"/>
            <w:vAlign w:val="top"/>
          </w:tcPr>
          <w:p>
            <w:pPr>
              <w:pStyle w:val="2"/>
              <w:jc w:val="center"/>
              <w:rPr>
                <w:rFonts w:hAnsi="宋体"/>
              </w:rPr>
            </w:pPr>
          </w:p>
        </w:tc>
        <w:tc>
          <w:tcPr>
            <w:tcW w:w="1275" w:type="dxa"/>
            <w:noWrap w:val="0"/>
            <w:vAlign w:val="top"/>
          </w:tcPr>
          <w:p>
            <w:pPr>
              <w:pStyle w:val="2"/>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pPr>
              <w:pStyle w:val="2"/>
              <w:rPr>
                <w:rFonts w:hAnsi="宋体"/>
              </w:rPr>
            </w:pPr>
            <w:r>
              <w:rPr>
                <w:rFonts w:hint="eastAsia" w:hAnsi="宋体"/>
              </w:rPr>
              <w:t>2019年</w:t>
            </w:r>
          </w:p>
        </w:tc>
        <w:tc>
          <w:tcPr>
            <w:tcW w:w="595" w:type="dxa"/>
            <w:noWrap w:val="0"/>
            <w:vAlign w:val="top"/>
          </w:tcPr>
          <w:p>
            <w:pPr>
              <w:pStyle w:val="2"/>
              <w:jc w:val="center"/>
              <w:rPr>
                <w:rFonts w:hAnsi="宋体"/>
              </w:rPr>
            </w:pPr>
            <w:r>
              <w:rPr>
                <w:rFonts w:hint="eastAsia" w:hAnsi="宋体"/>
              </w:rPr>
              <w:t>3</w:t>
            </w:r>
          </w:p>
        </w:tc>
        <w:tc>
          <w:tcPr>
            <w:tcW w:w="587" w:type="dxa"/>
            <w:noWrap w:val="0"/>
            <w:vAlign w:val="top"/>
          </w:tcPr>
          <w:p>
            <w:pPr>
              <w:pStyle w:val="2"/>
              <w:jc w:val="center"/>
              <w:rPr>
                <w:rFonts w:hAnsi="宋体"/>
              </w:rPr>
            </w:pPr>
            <w:r>
              <w:rPr>
                <w:rFonts w:hint="eastAsia" w:hAnsi="宋体"/>
              </w:rPr>
              <w:t>3</w:t>
            </w:r>
          </w:p>
        </w:tc>
        <w:tc>
          <w:tcPr>
            <w:tcW w:w="853" w:type="dxa"/>
            <w:noWrap w:val="0"/>
            <w:vAlign w:val="top"/>
          </w:tcPr>
          <w:p>
            <w:pPr>
              <w:pStyle w:val="2"/>
              <w:jc w:val="center"/>
              <w:rPr>
                <w:rFonts w:hAnsi="宋体"/>
              </w:rPr>
            </w:pPr>
          </w:p>
        </w:tc>
        <w:tc>
          <w:tcPr>
            <w:tcW w:w="722" w:type="dxa"/>
            <w:noWrap w:val="0"/>
            <w:vAlign w:val="top"/>
          </w:tcPr>
          <w:p>
            <w:pPr>
              <w:pStyle w:val="2"/>
              <w:jc w:val="center"/>
              <w:rPr>
                <w:rFonts w:hAnsi="宋体"/>
              </w:rPr>
            </w:pPr>
          </w:p>
        </w:tc>
        <w:tc>
          <w:tcPr>
            <w:tcW w:w="581" w:type="dxa"/>
            <w:noWrap w:val="0"/>
            <w:vAlign w:val="top"/>
          </w:tcPr>
          <w:p>
            <w:pPr>
              <w:pStyle w:val="2"/>
              <w:jc w:val="center"/>
              <w:rPr>
                <w:rFonts w:hAnsi="宋体"/>
              </w:rPr>
            </w:pPr>
          </w:p>
        </w:tc>
        <w:tc>
          <w:tcPr>
            <w:tcW w:w="434" w:type="dxa"/>
            <w:noWrap w:val="0"/>
            <w:vAlign w:val="top"/>
          </w:tcPr>
          <w:p>
            <w:pPr>
              <w:pStyle w:val="2"/>
              <w:jc w:val="center"/>
              <w:rPr>
                <w:rFonts w:hAnsi="宋体"/>
              </w:rPr>
            </w:pPr>
          </w:p>
        </w:tc>
        <w:tc>
          <w:tcPr>
            <w:tcW w:w="963" w:type="dxa"/>
            <w:noWrap w:val="0"/>
            <w:vAlign w:val="top"/>
          </w:tcPr>
          <w:p>
            <w:pPr>
              <w:pStyle w:val="2"/>
              <w:jc w:val="center"/>
              <w:rPr>
                <w:rFonts w:hAnsi="宋体"/>
              </w:rPr>
            </w:pPr>
          </w:p>
        </w:tc>
        <w:tc>
          <w:tcPr>
            <w:tcW w:w="990" w:type="dxa"/>
            <w:noWrap w:val="0"/>
            <w:vAlign w:val="top"/>
          </w:tcPr>
          <w:p>
            <w:pPr>
              <w:pStyle w:val="2"/>
              <w:jc w:val="center"/>
              <w:rPr>
                <w:rFonts w:hAnsi="宋体"/>
              </w:rPr>
            </w:pPr>
          </w:p>
        </w:tc>
        <w:tc>
          <w:tcPr>
            <w:tcW w:w="1275" w:type="dxa"/>
            <w:noWrap w:val="0"/>
            <w:vAlign w:val="top"/>
          </w:tcPr>
          <w:p>
            <w:pPr>
              <w:pStyle w:val="2"/>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pPr>
              <w:pStyle w:val="2"/>
              <w:rPr>
                <w:rFonts w:hAnsi="宋体"/>
              </w:rPr>
            </w:pPr>
            <w:r>
              <w:rPr>
                <w:rFonts w:hint="eastAsia" w:hAnsi="宋体"/>
              </w:rPr>
              <w:t>2020年</w:t>
            </w:r>
          </w:p>
        </w:tc>
        <w:tc>
          <w:tcPr>
            <w:tcW w:w="595" w:type="dxa"/>
            <w:noWrap w:val="0"/>
            <w:vAlign w:val="top"/>
          </w:tcPr>
          <w:p>
            <w:pPr>
              <w:pStyle w:val="2"/>
              <w:jc w:val="center"/>
              <w:rPr>
                <w:rFonts w:hAnsi="宋体"/>
              </w:rPr>
            </w:pPr>
            <w:r>
              <w:rPr>
                <w:rFonts w:hint="eastAsia" w:hAnsi="宋体"/>
              </w:rPr>
              <w:t>64</w:t>
            </w:r>
          </w:p>
        </w:tc>
        <w:tc>
          <w:tcPr>
            <w:tcW w:w="587" w:type="dxa"/>
            <w:noWrap w:val="0"/>
            <w:vAlign w:val="top"/>
          </w:tcPr>
          <w:p>
            <w:pPr>
              <w:pStyle w:val="2"/>
              <w:jc w:val="center"/>
              <w:rPr>
                <w:rFonts w:hAnsi="宋体"/>
              </w:rPr>
            </w:pPr>
            <w:r>
              <w:rPr>
                <w:rFonts w:hint="eastAsia" w:hAnsi="宋体"/>
              </w:rPr>
              <w:t>51</w:t>
            </w:r>
          </w:p>
        </w:tc>
        <w:tc>
          <w:tcPr>
            <w:tcW w:w="853" w:type="dxa"/>
            <w:noWrap w:val="0"/>
            <w:vAlign w:val="top"/>
          </w:tcPr>
          <w:p>
            <w:pPr>
              <w:pStyle w:val="2"/>
              <w:jc w:val="center"/>
              <w:rPr>
                <w:rFonts w:hAnsi="宋体"/>
              </w:rPr>
            </w:pPr>
          </w:p>
        </w:tc>
        <w:tc>
          <w:tcPr>
            <w:tcW w:w="722" w:type="dxa"/>
            <w:noWrap w:val="0"/>
            <w:vAlign w:val="top"/>
          </w:tcPr>
          <w:p>
            <w:pPr>
              <w:pStyle w:val="2"/>
              <w:jc w:val="center"/>
              <w:rPr>
                <w:rFonts w:hAnsi="宋体"/>
              </w:rPr>
            </w:pPr>
            <w:r>
              <w:rPr>
                <w:rFonts w:hint="eastAsia" w:hAnsi="宋体"/>
              </w:rPr>
              <w:t>1</w:t>
            </w:r>
          </w:p>
        </w:tc>
        <w:tc>
          <w:tcPr>
            <w:tcW w:w="581" w:type="dxa"/>
            <w:noWrap w:val="0"/>
            <w:vAlign w:val="top"/>
          </w:tcPr>
          <w:p>
            <w:pPr>
              <w:pStyle w:val="2"/>
              <w:jc w:val="center"/>
              <w:rPr>
                <w:rFonts w:hAnsi="宋体"/>
              </w:rPr>
            </w:pPr>
          </w:p>
        </w:tc>
        <w:tc>
          <w:tcPr>
            <w:tcW w:w="434" w:type="dxa"/>
            <w:noWrap w:val="0"/>
            <w:vAlign w:val="top"/>
          </w:tcPr>
          <w:p>
            <w:pPr>
              <w:pStyle w:val="2"/>
              <w:jc w:val="center"/>
              <w:rPr>
                <w:rFonts w:hAnsi="宋体"/>
              </w:rPr>
            </w:pPr>
          </w:p>
        </w:tc>
        <w:tc>
          <w:tcPr>
            <w:tcW w:w="963" w:type="dxa"/>
            <w:noWrap w:val="0"/>
            <w:vAlign w:val="top"/>
          </w:tcPr>
          <w:p>
            <w:pPr>
              <w:pStyle w:val="2"/>
              <w:jc w:val="center"/>
              <w:rPr>
                <w:rFonts w:hAnsi="宋体"/>
              </w:rPr>
            </w:pPr>
            <w:r>
              <w:rPr>
                <w:rFonts w:hint="eastAsia" w:hAnsi="宋体"/>
              </w:rPr>
              <w:t>12</w:t>
            </w:r>
          </w:p>
        </w:tc>
        <w:tc>
          <w:tcPr>
            <w:tcW w:w="990" w:type="dxa"/>
            <w:noWrap w:val="0"/>
            <w:vAlign w:val="top"/>
          </w:tcPr>
          <w:p>
            <w:pPr>
              <w:pStyle w:val="2"/>
              <w:jc w:val="center"/>
              <w:rPr>
                <w:rFonts w:hAnsi="宋体"/>
              </w:rPr>
            </w:pPr>
            <w:r>
              <w:rPr>
                <w:rFonts w:hint="eastAsia" w:hAnsi="宋体"/>
              </w:rPr>
              <w:t>0</w:t>
            </w:r>
          </w:p>
        </w:tc>
        <w:tc>
          <w:tcPr>
            <w:tcW w:w="1275" w:type="dxa"/>
            <w:noWrap w:val="0"/>
            <w:vAlign w:val="top"/>
          </w:tcPr>
          <w:p>
            <w:pPr>
              <w:pStyle w:val="2"/>
              <w:jc w:val="center"/>
              <w:rPr>
                <w:rFonts w:hAnsi="宋体"/>
              </w:rPr>
            </w:pPr>
            <w:r>
              <w:rPr>
                <w:rFonts w:hint="eastAsia" w:hAnsi="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pPr>
              <w:pStyle w:val="2"/>
              <w:rPr>
                <w:rFonts w:hAnsi="宋体"/>
              </w:rPr>
            </w:pPr>
            <w:r>
              <w:rPr>
                <w:rFonts w:hint="eastAsia" w:hAnsi="宋体"/>
              </w:rPr>
              <w:t>2021年（1月-7月）</w:t>
            </w:r>
          </w:p>
        </w:tc>
        <w:tc>
          <w:tcPr>
            <w:tcW w:w="595" w:type="dxa"/>
            <w:noWrap w:val="0"/>
            <w:vAlign w:val="top"/>
          </w:tcPr>
          <w:p>
            <w:pPr>
              <w:pStyle w:val="2"/>
              <w:jc w:val="center"/>
              <w:rPr>
                <w:rFonts w:hint="eastAsia" w:hAnsi="宋体" w:eastAsia="宋体"/>
                <w:lang w:eastAsia="zh-CN"/>
              </w:rPr>
            </w:pPr>
            <w:r>
              <w:rPr>
                <w:rFonts w:hint="eastAsia" w:hAnsi="宋体"/>
              </w:rPr>
              <w:t>4</w:t>
            </w:r>
            <w:r>
              <w:rPr>
                <w:rFonts w:hint="eastAsia" w:hAnsi="宋体"/>
                <w:lang w:val="en-US" w:eastAsia="zh-CN"/>
              </w:rPr>
              <w:t>5</w:t>
            </w:r>
          </w:p>
        </w:tc>
        <w:tc>
          <w:tcPr>
            <w:tcW w:w="587" w:type="dxa"/>
            <w:noWrap w:val="0"/>
            <w:vAlign w:val="top"/>
          </w:tcPr>
          <w:p>
            <w:pPr>
              <w:pStyle w:val="2"/>
              <w:jc w:val="center"/>
              <w:rPr>
                <w:rFonts w:hAnsi="宋体"/>
              </w:rPr>
            </w:pPr>
          </w:p>
        </w:tc>
        <w:tc>
          <w:tcPr>
            <w:tcW w:w="853" w:type="dxa"/>
            <w:noWrap w:val="0"/>
            <w:vAlign w:val="top"/>
          </w:tcPr>
          <w:p>
            <w:pPr>
              <w:pStyle w:val="2"/>
              <w:jc w:val="center"/>
              <w:rPr>
                <w:rFonts w:hAnsi="宋体"/>
              </w:rPr>
            </w:pPr>
          </w:p>
        </w:tc>
        <w:tc>
          <w:tcPr>
            <w:tcW w:w="722" w:type="dxa"/>
            <w:noWrap w:val="0"/>
            <w:vAlign w:val="top"/>
          </w:tcPr>
          <w:p>
            <w:pPr>
              <w:pStyle w:val="2"/>
              <w:jc w:val="center"/>
              <w:rPr>
                <w:rFonts w:hAnsi="宋体"/>
              </w:rPr>
            </w:pPr>
          </w:p>
        </w:tc>
        <w:tc>
          <w:tcPr>
            <w:tcW w:w="581" w:type="dxa"/>
            <w:noWrap w:val="0"/>
            <w:vAlign w:val="top"/>
          </w:tcPr>
          <w:p>
            <w:pPr>
              <w:pStyle w:val="2"/>
              <w:jc w:val="center"/>
              <w:rPr>
                <w:rFonts w:hAnsi="宋体"/>
              </w:rPr>
            </w:pPr>
          </w:p>
        </w:tc>
        <w:tc>
          <w:tcPr>
            <w:tcW w:w="434" w:type="dxa"/>
            <w:noWrap w:val="0"/>
            <w:vAlign w:val="top"/>
          </w:tcPr>
          <w:p>
            <w:pPr>
              <w:pStyle w:val="2"/>
              <w:jc w:val="center"/>
              <w:rPr>
                <w:rFonts w:hAnsi="宋体"/>
              </w:rPr>
            </w:pPr>
            <w:r>
              <w:rPr>
                <w:rFonts w:hint="eastAsia" w:hAnsi="宋体"/>
              </w:rPr>
              <w:t>22</w:t>
            </w:r>
          </w:p>
        </w:tc>
        <w:tc>
          <w:tcPr>
            <w:tcW w:w="963" w:type="dxa"/>
            <w:noWrap w:val="0"/>
            <w:vAlign w:val="top"/>
          </w:tcPr>
          <w:p>
            <w:pPr>
              <w:pStyle w:val="2"/>
              <w:jc w:val="center"/>
              <w:rPr>
                <w:rFonts w:hAnsi="宋体"/>
              </w:rPr>
            </w:pPr>
            <w:r>
              <w:rPr>
                <w:rFonts w:hint="eastAsia" w:hAnsi="宋体"/>
              </w:rPr>
              <w:t>1</w:t>
            </w:r>
          </w:p>
        </w:tc>
        <w:tc>
          <w:tcPr>
            <w:tcW w:w="990" w:type="dxa"/>
            <w:noWrap w:val="0"/>
            <w:vAlign w:val="top"/>
          </w:tcPr>
          <w:p>
            <w:pPr>
              <w:pStyle w:val="2"/>
              <w:jc w:val="center"/>
              <w:rPr>
                <w:rFonts w:hAnsi="宋体"/>
              </w:rPr>
            </w:pPr>
            <w:r>
              <w:rPr>
                <w:rFonts w:hint="eastAsia" w:hAnsi="宋体"/>
              </w:rPr>
              <w:t>5</w:t>
            </w:r>
          </w:p>
        </w:tc>
        <w:tc>
          <w:tcPr>
            <w:tcW w:w="1275" w:type="dxa"/>
            <w:noWrap w:val="0"/>
            <w:vAlign w:val="top"/>
          </w:tcPr>
          <w:p>
            <w:pPr>
              <w:pStyle w:val="2"/>
              <w:jc w:val="center"/>
              <w:rPr>
                <w:rFonts w:hint="eastAsia" w:hAnsi="宋体" w:eastAsia="宋体"/>
                <w:lang w:eastAsia="zh-CN"/>
              </w:rPr>
            </w:pPr>
            <w:r>
              <w:rPr>
                <w:rFonts w:hint="eastAsia" w:hAnsi="宋体"/>
              </w:rPr>
              <w:t>1</w:t>
            </w:r>
            <w:r>
              <w:rPr>
                <w:rFonts w:hint="eastAsia" w:hAnsi="宋体"/>
                <w:lang w:val="en-US" w:eastAsia="zh-CN"/>
              </w:rPr>
              <w:t>7</w:t>
            </w:r>
          </w:p>
        </w:tc>
      </w:tr>
    </w:tbl>
    <w:p>
      <w:pPr>
        <w:pStyle w:val="2"/>
        <w:jc w:val="center"/>
        <w:rPr>
          <w:rFonts w:ascii="楷体" w:hAnsi="楷体" w:eastAsia="楷体" w:cs="楷体"/>
          <w:sz w:val="28"/>
          <w:szCs w:val="28"/>
        </w:rPr>
      </w:pPr>
      <w:r>
        <w:rPr>
          <w:rFonts w:hint="eastAsia" w:ascii="楷体" w:hAnsi="楷体" w:eastAsia="楷体" w:cs="楷体"/>
          <w:sz w:val="28"/>
          <w:szCs w:val="28"/>
        </w:rPr>
        <w:t>表3：顺德区检察院办理未成年人行政公益诉讼案件线索来源</w:t>
      </w:r>
    </w:p>
    <w:tbl>
      <w:tblPr>
        <w:tblStyle w:val="8"/>
        <w:tblW w:w="8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750"/>
        <w:gridCol w:w="745"/>
        <w:gridCol w:w="712"/>
        <w:gridCol w:w="684"/>
        <w:gridCol w:w="1520"/>
        <w:gridCol w:w="1304"/>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noWrap w:val="0"/>
            <w:vAlign w:val="top"/>
          </w:tcPr>
          <w:p>
            <w:pPr>
              <w:pStyle w:val="2"/>
              <w:jc w:val="center"/>
              <w:rPr>
                <w:rFonts w:hAnsi="宋体"/>
              </w:rPr>
            </w:pPr>
            <w:r>
              <w:rPr>
                <w:rFonts w:hint="eastAsia" w:hAnsi="宋体"/>
              </w:rPr>
              <w:t>线索来源</w:t>
            </w:r>
          </w:p>
        </w:tc>
        <w:tc>
          <w:tcPr>
            <w:tcW w:w="750" w:type="dxa"/>
            <w:noWrap w:val="0"/>
            <w:vAlign w:val="top"/>
          </w:tcPr>
          <w:p>
            <w:pPr>
              <w:pStyle w:val="2"/>
              <w:jc w:val="center"/>
              <w:rPr>
                <w:rFonts w:hAnsi="宋体"/>
              </w:rPr>
            </w:pPr>
            <w:r>
              <w:rPr>
                <w:rFonts w:hint="eastAsia" w:hAnsi="宋体"/>
              </w:rPr>
              <w:t>食品药品安全</w:t>
            </w:r>
          </w:p>
        </w:tc>
        <w:tc>
          <w:tcPr>
            <w:tcW w:w="745" w:type="dxa"/>
            <w:noWrap w:val="0"/>
            <w:vAlign w:val="top"/>
          </w:tcPr>
          <w:p>
            <w:pPr>
              <w:pStyle w:val="2"/>
              <w:jc w:val="center"/>
              <w:rPr>
                <w:rFonts w:hAnsi="宋体"/>
              </w:rPr>
            </w:pPr>
            <w:r>
              <w:rPr>
                <w:rFonts w:hint="eastAsia" w:hAnsi="宋体"/>
              </w:rPr>
              <w:t>学生产品质量</w:t>
            </w:r>
          </w:p>
        </w:tc>
        <w:tc>
          <w:tcPr>
            <w:tcW w:w="712" w:type="dxa"/>
            <w:noWrap w:val="0"/>
            <w:vAlign w:val="top"/>
          </w:tcPr>
          <w:p>
            <w:pPr>
              <w:pStyle w:val="2"/>
              <w:jc w:val="center"/>
              <w:rPr>
                <w:rFonts w:hAnsi="宋体"/>
              </w:rPr>
            </w:pPr>
            <w:r>
              <w:rPr>
                <w:rFonts w:hint="eastAsia" w:hAnsi="宋体"/>
              </w:rPr>
              <w:t>学校招生</w:t>
            </w:r>
          </w:p>
        </w:tc>
        <w:tc>
          <w:tcPr>
            <w:tcW w:w="684" w:type="dxa"/>
            <w:noWrap w:val="0"/>
            <w:vAlign w:val="top"/>
          </w:tcPr>
          <w:p>
            <w:pPr>
              <w:pStyle w:val="2"/>
              <w:jc w:val="center"/>
              <w:rPr>
                <w:rFonts w:hAnsi="宋体"/>
              </w:rPr>
            </w:pPr>
            <w:r>
              <w:rPr>
                <w:rFonts w:hint="eastAsia" w:hAnsi="宋体"/>
              </w:rPr>
              <w:t>窨井</w:t>
            </w:r>
          </w:p>
          <w:p>
            <w:pPr>
              <w:pStyle w:val="2"/>
              <w:jc w:val="center"/>
              <w:rPr>
                <w:rFonts w:hAnsi="宋体"/>
              </w:rPr>
            </w:pPr>
            <w:r>
              <w:rPr>
                <w:rFonts w:hint="eastAsia" w:hAnsi="宋体"/>
              </w:rPr>
              <w:t>盖</w:t>
            </w:r>
          </w:p>
        </w:tc>
        <w:tc>
          <w:tcPr>
            <w:tcW w:w="1520" w:type="dxa"/>
            <w:noWrap w:val="0"/>
            <w:vAlign w:val="top"/>
          </w:tcPr>
          <w:p>
            <w:pPr>
              <w:pStyle w:val="2"/>
              <w:jc w:val="center"/>
              <w:rPr>
                <w:rFonts w:hAnsi="宋体"/>
              </w:rPr>
            </w:pPr>
            <w:r>
              <w:rPr>
                <w:rFonts w:hint="eastAsia" w:hAnsi="宋体"/>
              </w:rPr>
              <w:t>娱乐场所违法接纳、招用未成年人</w:t>
            </w:r>
          </w:p>
        </w:tc>
        <w:tc>
          <w:tcPr>
            <w:tcW w:w="1304" w:type="dxa"/>
            <w:noWrap w:val="0"/>
            <w:vAlign w:val="top"/>
          </w:tcPr>
          <w:p>
            <w:pPr>
              <w:pStyle w:val="2"/>
              <w:jc w:val="center"/>
              <w:rPr>
                <w:rFonts w:hAnsi="宋体"/>
              </w:rPr>
            </w:pPr>
            <w:r>
              <w:rPr>
                <w:rFonts w:hint="eastAsia" w:hAnsi="宋体"/>
              </w:rPr>
              <w:t>网吧违法接纳未成年人</w:t>
            </w:r>
          </w:p>
        </w:tc>
        <w:tc>
          <w:tcPr>
            <w:tcW w:w="1335" w:type="dxa"/>
            <w:noWrap w:val="0"/>
            <w:vAlign w:val="top"/>
          </w:tcPr>
          <w:p>
            <w:pPr>
              <w:pStyle w:val="2"/>
              <w:jc w:val="center"/>
              <w:rPr>
                <w:rFonts w:hAnsi="宋体"/>
              </w:rPr>
            </w:pPr>
            <w:r>
              <w:rPr>
                <w:rFonts w:hint="eastAsia" w:hAnsi="宋体"/>
              </w:rPr>
              <w:t>住宿场所违法接纳未成年人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noWrap w:val="0"/>
            <w:vAlign w:val="top"/>
          </w:tcPr>
          <w:p>
            <w:pPr>
              <w:pStyle w:val="2"/>
              <w:rPr>
                <w:rFonts w:hAnsi="宋体"/>
              </w:rPr>
            </w:pPr>
            <w:r>
              <w:rPr>
                <w:rFonts w:hint="eastAsia" w:hAnsi="宋体"/>
              </w:rPr>
              <w:t>办案排查</w:t>
            </w:r>
          </w:p>
        </w:tc>
        <w:tc>
          <w:tcPr>
            <w:tcW w:w="750" w:type="dxa"/>
            <w:noWrap w:val="0"/>
            <w:vAlign w:val="top"/>
          </w:tcPr>
          <w:p>
            <w:pPr>
              <w:pStyle w:val="2"/>
              <w:jc w:val="center"/>
              <w:rPr>
                <w:rFonts w:hAnsi="宋体"/>
              </w:rPr>
            </w:pPr>
          </w:p>
        </w:tc>
        <w:tc>
          <w:tcPr>
            <w:tcW w:w="745" w:type="dxa"/>
            <w:noWrap w:val="0"/>
            <w:vAlign w:val="top"/>
          </w:tcPr>
          <w:p>
            <w:pPr>
              <w:pStyle w:val="2"/>
              <w:jc w:val="center"/>
              <w:rPr>
                <w:rFonts w:hAnsi="宋体"/>
              </w:rPr>
            </w:pPr>
          </w:p>
        </w:tc>
        <w:tc>
          <w:tcPr>
            <w:tcW w:w="712" w:type="dxa"/>
            <w:noWrap w:val="0"/>
            <w:vAlign w:val="top"/>
          </w:tcPr>
          <w:p>
            <w:pPr>
              <w:pStyle w:val="2"/>
              <w:jc w:val="center"/>
              <w:rPr>
                <w:rFonts w:hAnsi="宋体"/>
              </w:rPr>
            </w:pPr>
          </w:p>
        </w:tc>
        <w:tc>
          <w:tcPr>
            <w:tcW w:w="684" w:type="dxa"/>
            <w:noWrap w:val="0"/>
            <w:vAlign w:val="top"/>
          </w:tcPr>
          <w:p>
            <w:pPr>
              <w:pStyle w:val="2"/>
              <w:jc w:val="center"/>
              <w:rPr>
                <w:rFonts w:hAnsi="宋体"/>
              </w:rPr>
            </w:pPr>
          </w:p>
        </w:tc>
        <w:tc>
          <w:tcPr>
            <w:tcW w:w="1520" w:type="dxa"/>
            <w:noWrap w:val="0"/>
            <w:vAlign w:val="top"/>
          </w:tcPr>
          <w:p>
            <w:pPr>
              <w:pStyle w:val="2"/>
              <w:jc w:val="center"/>
              <w:rPr>
                <w:rFonts w:hAnsi="宋体"/>
              </w:rPr>
            </w:pPr>
            <w:r>
              <w:rPr>
                <w:rFonts w:hint="eastAsia" w:hAnsi="宋体"/>
              </w:rPr>
              <w:t>13</w:t>
            </w:r>
          </w:p>
        </w:tc>
        <w:tc>
          <w:tcPr>
            <w:tcW w:w="1304" w:type="dxa"/>
            <w:noWrap w:val="0"/>
            <w:vAlign w:val="top"/>
          </w:tcPr>
          <w:p>
            <w:pPr>
              <w:pStyle w:val="2"/>
              <w:jc w:val="center"/>
              <w:rPr>
                <w:rFonts w:hAnsi="宋体"/>
              </w:rPr>
            </w:pPr>
            <w:r>
              <w:rPr>
                <w:rFonts w:hint="eastAsia" w:hAnsi="宋体"/>
              </w:rPr>
              <w:t>5</w:t>
            </w:r>
          </w:p>
        </w:tc>
        <w:tc>
          <w:tcPr>
            <w:tcW w:w="1335" w:type="dxa"/>
            <w:noWrap w:val="0"/>
            <w:vAlign w:val="top"/>
          </w:tcPr>
          <w:p>
            <w:pPr>
              <w:pStyle w:val="2"/>
              <w:jc w:val="center"/>
              <w:rPr>
                <w:rFonts w:hint="eastAsia" w:hAnsi="宋体" w:eastAsia="宋体"/>
                <w:lang w:eastAsia="zh-CN"/>
              </w:rPr>
            </w:pPr>
            <w:r>
              <w:rPr>
                <w:rFonts w:hint="eastAsia" w:hAnsi="宋体"/>
              </w:rPr>
              <w:t>1</w:t>
            </w:r>
            <w:r>
              <w:rPr>
                <w:rFonts w:hint="eastAsia" w:hAnsi="宋体"/>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6" w:type="dxa"/>
            <w:noWrap w:val="0"/>
            <w:vAlign w:val="top"/>
          </w:tcPr>
          <w:p>
            <w:pPr>
              <w:pStyle w:val="2"/>
              <w:rPr>
                <w:rFonts w:hAnsi="宋体"/>
              </w:rPr>
            </w:pPr>
            <w:r>
              <w:rPr>
                <w:rFonts w:hint="eastAsia" w:hAnsi="宋体"/>
              </w:rPr>
              <w:t>公益监督</w:t>
            </w:r>
          </w:p>
        </w:tc>
        <w:tc>
          <w:tcPr>
            <w:tcW w:w="750" w:type="dxa"/>
            <w:noWrap w:val="0"/>
            <w:vAlign w:val="top"/>
          </w:tcPr>
          <w:p>
            <w:pPr>
              <w:pStyle w:val="2"/>
              <w:jc w:val="center"/>
              <w:rPr>
                <w:rFonts w:hAnsi="宋体"/>
              </w:rPr>
            </w:pPr>
            <w:r>
              <w:rPr>
                <w:rFonts w:hint="eastAsia" w:hAnsi="宋体"/>
              </w:rPr>
              <w:t>54</w:t>
            </w:r>
          </w:p>
        </w:tc>
        <w:tc>
          <w:tcPr>
            <w:tcW w:w="745" w:type="dxa"/>
            <w:noWrap w:val="0"/>
            <w:vAlign w:val="top"/>
          </w:tcPr>
          <w:p>
            <w:pPr>
              <w:pStyle w:val="2"/>
              <w:jc w:val="center"/>
              <w:rPr>
                <w:rFonts w:hAnsi="宋体"/>
              </w:rPr>
            </w:pPr>
            <w:r>
              <w:rPr>
                <w:rFonts w:hint="eastAsia" w:hAnsi="宋体"/>
              </w:rPr>
              <w:t>1</w:t>
            </w:r>
          </w:p>
        </w:tc>
        <w:tc>
          <w:tcPr>
            <w:tcW w:w="712" w:type="dxa"/>
            <w:noWrap w:val="0"/>
            <w:vAlign w:val="top"/>
          </w:tcPr>
          <w:p>
            <w:pPr>
              <w:pStyle w:val="2"/>
              <w:jc w:val="center"/>
              <w:rPr>
                <w:rFonts w:hAnsi="宋体"/>
              </w:rPr>
            </w:pPr>
            <w:r>
              <w:rPr>
                <w:rFonts w:hint="eastAsia" w:hAnsi="宋体"/>
              </w:rPr>
              <w:t>1</w:t>
            </w:r>
          </w:p>
        </w:tc>
        <w:tc>
          <w:tcPr>
            <w:tcW w:w="684" w:type="dxa"/>
            <w:noWrap w:val="0"/>
            <w:vAlign w:val="top"/>
          </w:tcPr>
          <w:p>
            <w:pPr>
              <w:pStyle w:val="2"/>
              <w:jc w:val="center"/>
              <w:rPr>
                <w:rFonts w:hAnsi="宋体"/>
              </w:rPr>
            </w:pPr>
            <w:r>
              <w:rPr>
                <w:rFonts w:hint="eastAsia" w:hAnsi="宋体"/>
              </w:rPr>
              <w:t>22</w:t>
            </w:r>
          </w:p>
        </w:tc>
        <w:tc>
          <w:tcPr>
            <w:tcW w:w="1520" w:type="dxa"/>
            <w:noWrap w:val="0"/>
            <w:vAlign w:val="top"/>
          </w:tcPr>
          <w:p>
            <w:pPr>
              <w:pStyle w:val="2"/>
              <w:jc w:val="center"/>
              <w:rPr>
                <w:rFonts w:hAnsi="宋体"/>
              </w:rPr>
            </w:pPr>
          </w:p>
        </w:tc>
        <w:tc>
          <w:tcPr>
            <w:tcW w:w="1304" w:type="dxa"/>
            <w:noWrap w:val="0"/>
            <w:vAlign w:val="top"/>
          </w:tcPr>
          <w:p>
            <w:pPr>
              <w:pStyle w:val="2"/>
              <w:jc w:val="center"/>
              <w:rPr>
                <w:rFonts w:hAnsi="宋体"/>
              </w:rPr>
            </w:pPr>
          </w:p>
        </w:tc>
        <w:tc>
          <w:tcPr>
            <w:tcW w:w="1335" w:type="dxa"/>
            <w:noWrap w:val="0"/>
            <w:vAlign w:val="top"/>
          </w:tcPr>
          <w:p>
            <w:pPr>
              <w:pStyle w:val="2"/>
              <w:jc w:val="center"/>
              <w:rPr>
                <w:rFonts w:hAnsi="宋体"/>
              </w:rPr>
            </w:pPr>
          </w:p>
        </w:tc>
      </w:tr>
    </w:tbl>
    <w:p>
      <w:pPr>
        <w:pStyle w:val="2"/>
        <w:spacing w:line="360" w:lineRule="auto"/>
        <w:ind w:firstLine="480" w:firstLineChars="200"/>
        <w:rPr>
          <w:rFonts w:hAnsi="宋体" w:cs="Times New Roman"/>
          <w:sz w:val="24"/>
          <w:szCs w:val="24"/>
        </w:rPr>
      </w:pPr>
      <w:r>
        <w:rPr>
          <w:rFonts w:hint="eastAsia" w:hAnsi="宋体" w:cs="Times New Roman"/>
          <w:sz w:val="24"/>
          <w:szCs w:val="24"/>
        </w:rPr>
        <w:t>从上述表格数据看，未成年人行政公益诉讼案件办理存在以下特点：</w:t>
      </w:r>
    </w:p>
    <w:p>
      <w:pPr>
        <w:pStyle w:val="2"/>
        <w:numPr>
          <w:ilvl w:val="0"/>
          <w:numId w:val="2"/>
        </w:numPr>
        <w:spacing w:line="360" w:lineRule="auto"/>
        <w:ind w:firstLine="480" w:firstLineChars="200"/>
        <w:rPr>
          <w:rFonts w:hAnsi="宋体" w:cs="Times New Roman"/>
          <w:sz w:val="24"/>
          <w:szCs w:val="24"/>
        </w:rPr>
      </w:pPr>
      <w:r>
        <w:rPr>
          <w:rFonts w:hint="eastAsia" w:hAnsi="宋体" w:cs="Times New Roman"/>
          <w:sz w:val="24"/>
          <w:szCs w:val="24"/>
        </w:rPr>
        <w:t>根据民事诉讼法</w:t>
      </w:r>
      <w:r>
        <w:rPr>
          <w:rFonts w:hint="eastAsia" w:hAnsi="宋体" w:cs="Times New Roman"/>
          <w:color w:val="auto"/>
          <w:sz w:val="24"/>
          <w:szCs w:val="24"/>
        </w:rPr>
        <w:t>、行政诉讼法规定，检察公益诉讼的法定范围包括生态环境和资源保护、食品药品</w:t>
      </w:r>
      <w:r>
        <w:rPr>
          <w:rFonts w:hint="eastAsia" w:hAnsi="宋体" w:cs="Times New Roman"/>
          <w:color w:val="auto"/>
          <w:sz w:val="24"/>
          <w:szCs w:val="24"/>
          <w:lang w:val="en-US" w:eastAsia="zh-CN"/>
        </w:rPr>
        <w:t>安</w:t>
      </w:r>
      <w:r>
        <w:rPr>
          <w:rFonts w:hint="eastAsia" w:hAnsi="宋体" w:cs="Times New Roman"/>
          <w:color w:val="auto"/>
          <w:sz w:val="24"/>
          <w:szCs w:val="24"/>
        </w:rPr>
        <w:t>全、国家财产保护、国有土地使用权出让和英烈权益保护等领域，与未成年人</w:t>
      </w:r>
      <w:r>
        <w:rPr>
          <w:rFonts w:hint="eastAsia" w:hAnsi="宋体" w:cs="Times New Roman"/>
          <w:color w:val="auto"/>
          <w:sz w:val="24"/>
          <w:szCs w:val="24"/>
          <w:lang w:val="en-US" w:eastAsia="zh-CN"/>
        </w:rPr>
        <w:t>权</w:t>
      </w:r>
      <w:r>
        <w:rPr>
          <w:rFonts w:hint="eastAsia" w:hAnsi="宋体" w:cs="Times New Roman"/>
          <w:color w:val="auto"/>
          <w:sz w:val="24"/>
          <w:szCs w:val="24"/>
        </w:rPr>
        <w:t>益密切相关的仅有食品药品</w:t>
      </w:r>
      <w:r>
        <w:rPr>
          <w:rFonts w:hint="eastAsia" w:hAnsi="宋体" w:cs="Times New Roman"/>
          <w:color w:val="auto"/>
          <w:sz w:val="24"/>
          <w:szCs w:val="24"/>
          <w:lang w:val="en-US" w:eastAsia="zh-CN"/>
        </w:rPr>
        <w:t>安</w:t>
      </w:r>
      <w:r>
        <w:rPr>
          <w:rFonts w:hint="eastAsia" w:hAnsi="宋体" w:cs="Times New Roman"/>
          <w:color w:val="auto"/>
          <w:sz w:val="24"/>
          <w:szCs w:val="24"/>
        </w:rPr>
        <w:t>全领域。2017年至2021年，顺德区院办理的未成年人行政公</w:t>
      </w:r>
      <w:r>
        <w:rPr>
          <w:rFonts w:hint="eastAsia" w:hAnsi="宋体" w:cs="Times New Roman"/>
          <w:sz w:val="24"/>
          <w:szCs w:val="24"/>
        </w:rPr>
        <w:t>益诉讼案件中，4</w:t>
      </w:r>
      <w:r>
        <w:rPr>
          <w:rFonts w:hint="eastAsia" w:hAnsi="宋体" w:cs="Times New Roman"/>
          <w:sz w:val="24"/>
          <w:szCs w:val="24"/>
          <w:lang w:val="en-US" w:eastAsia="zh-CN"/>
        </w:rPr>
        <w:t>7.8</w:t>
      </w:r>
      <w:r>
        <w:rPr>
          <w:rFonts w:hint="eastAsia" w:hAnsi="宋体" w:cs="Times New Roman"/>
          <w:sz w:val="24"/>
          <w:szCs w:val="24"/>
        </w:rPr>
        <w:t>%的案件为食品药品安全领域。而占比更多的案件属于等外或新领域探索案件，占已办案件总数的5</w:t>
      </w:r>
      <w:r>
        <w:rPr>
          <w:rFonts w:hint="eastAsia" w:hAnsi="宋体" w:cs="Times New Roman"/>
          <w:sz w:val="24"/>
          <w:szCs w:val="24"/>
          <w:lang w:val="en-US" w:eastAsia="zh-CN"/>
        </w:rPr>
        <w:t>2.2</w:t>
      </w:r>
      <w:r>
        <w:rPr>
          <w:rFonts w:hint="eastAsia" w:hAnsi="宋体" w:cs="Times New Roman"/>
          <w:sz w:val="24"/>
          <w:szCs w:val="24"/>
        </w:rPr>
        <w:t>%（见表1）。随着《</w:t>
      </w:r>
      <w:r>
        <w:rPr>
          <w:rFonts w:hint="eastAsia" w:hAnsi="宋体" w:cs="Times New Roman"/>
          <w:sz w:val="24"/>
          <w:szCs w:val="24"/>
          <w:lang w:eastAsia="zh-CN"/>
        </w:rPr>
        <w:t>中华人民共和国</w:t>
      </w:r>
      <w:r>
        <w:rPr>
          <w:rFonts w:hint="eastAsia" w:hAnsi="宋体" w:cs="Times New Roman"/>
          <w:sz w:val="24"/>
          <w:szCs w:val="24"/>
        </w:rPr>
        <w:t>未成年人保护法》的修订出台，大量涉及未成年人公共利益的规定得以明确规定，如住宿经营者的询问义务；经营者不得允许未成年人进入酒吧；禁止向未成年人销售彩票；保障校车安全；对可能影响未成年人身心健康的网络信息的管理等等，涉未成年人权益保护的公益诉讼案件均不再属于等外领域。</w:t>
      </w:r>
    </w:p>
    <w:p>
      <w:pPr>
        <w:pStyle w:val="2"/>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480" w:firstLineChars="200"/>
        <w:textAlignment w:val="auto"/>
        <w:rPr>
          <w:rFonts w:hAnsi="宋体" w:cs="Times New Roman"/>
          <w:sz w:val="24"/>
          <w:szCs w:val="24"/>
        </w:rPr>
      </w:pPr>
      <w:r>
        <w:rPr>
          <w:rFonts w:hint="eastAsia" w:hAnsi="宋体" w:cs="Times New Roman"/>
          <w:sz w:val="24"/>
          <w:szCs w:val="24"/>
        </w:rPr>
        <w:t>未成年人行政公益诉讼推进过程中总体上呈现出类型化保护的趋势。从顺德区院近几年实践探索案件看，主要保护领域集中食品药品安全领域、校园周边安全（如窨井盖）领域、未成年人身心健康活动领域（如娱乐场所、网吧、住宿场所接纳未成年人、娱乐场所招用未成年人等）。虽然探索范围相对狭窄，但在探索路径和方向上体现了定点切入的公共利益司法保护思维。但在未成年人类型化保护上应当进一步体现全面、多样化的特点，有必要对照新修订的《</w:t>
      </w:r>
      <w:r>
        <w:rPr>
          <w:rFonts w:hint="eastAsia" w:hAnsi="宋体" w:cs="Times New Roman"/>
          <w:sz w:val="24"/>
          <w:szCs w:val="24"/>
          <w:lang w:eastAsia="zh-CN"/>
        </w:rPr>
        <w:t>中华人民共和国</w:t>
      </w:r>
      <w:r>
        <w:rPr>
          <w:rFonts w:hint="eastAsia" w:hAnsi="宋体" w:cs="Times New Roman"/>
          <w:sz w:val="24"/>
          <w:szCs w:val="24"/>
        </w:rPr>
        <w:t>未成年人保护法》，明确当前亟需保障的未成年人公共利益领域，分领域分类明确公益诉讼工作方向和范围。</w:t>
      </w:r>
    </w:p>
    <w:p>
      <w:pPr>
        <w:pStyle w:val="2"/>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480" w:firstLineChars="200"/>
        <w:textAlignment w:val="auto"/>
        <w:rPr>
          <w:rFonts w:hAnsi="宋体" w:cs="Times New Roman"/>
          <w:sz w:val="24"/>
          <w:szCs w:val="24"/>
        </w:rPr>
      </w:pPr>
      <w:r>
        <w:rPr>
          <w:rFonts w:hint="eastAsia" w:hAnsi="宋体" w:cs="Times New Roman"/>
          <w:sz w:val="24"/>
          <w:szCs w:val="24"/>
        </w:rPr>
        <w:t>未成年人行政公益诉讼案件线索来源主要集中在履行公益监督职责过程中和检察机关办理刑事案件过程中主动排查发现两个方面。2017年至2021年，顺德区院办理的未成年人行政公益诉讼案件中，履行公益监督职责过程中主动发现占七成，检察机关办案中主动排查占三成。其中，履行公益监督职责过程中主动发现的领域主要集中在未成年人的食品、药品、用品、校园周边公共安全、教育权利领域，反映出校园及校园周边的安全及规范问题较为明显。办案排查中涉及领域主要集中在未成年人校外活动领域，如娱乐场所、网吧、住宿场所接纳未成年人、娱乐场所招用未成年人等，主要是检察机关在办理案件尤其是办理刑事案件时主动排查发现。</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600" w:firstLineChars="200"/>
        <w:textAlignment w:val="auto"/>
        <w:rPr>
          <w:rFonts w:ascii="黑体" w:hAnsi="黑体" w:eastAsia="黑体" w:cs="黑体"/>
          <w:sz w:val="30"/>
          <w:szCs w:val="30"/>
        </w:rPr>
      </w:pPr>
      <w:r>
        <w:rPr>
          <w:rFonts w:hint="eastAsia" w:ascii="黑体" w:hAnsi="黑体" w:eastAsia="黑体" w:cs="黑体"/>
          <w:sz w:val="30"/>
          <w:szCs w:val="30"/>
          <w:lang w:eastAsia="zh-CN"/>
        </w:rPr>
        <w:t>现状检视：未成年人检察</w:t>
      </w:r>
      <w:r>
        <w:rPr>
          <w:rFonts w:hint="eastAsia" w:ascii="黑体" w:hAnsi="黑体" w:eastAsia="黑体" w:cs="黑体"/>
          <w:sz w:val="30"/>
          <w:szCs w:val="30"/>
        </w:rPr>
        <w:t>行政公益诉讼</w:t>
      </w:r>
      <w:r>
        <w:rPr>
          <w:rFonts w:hint="eastAsia" w:ascii="黑体" w:hAnsi="黑体" w:eastAsia="黑体" w:cs="黑体"/>
          <w:sz w:val="30"/>
          <w:szCs w:val="30"/>
          <w:lang w:eastAsia="zh-CN"/>
        </w:rPr>
        <w:t>的实践难题</w:t>
      </w:r>
    </w:p>
    <w:p>
      <w:pPr>
        <w:pStyle w:val="4"/>
        <w:pageBreakBefore w:val="0"/>
        <w:widowControl w:val="0"/>
        <w:kinsoku/>
        <w:wordWrap/>
        <w:overflowPunct/>
        <w:topLinePunct w:val="0"/>
        <w:autoSpaceDE/>
        <w:autoSpaceDN/>
        <w:bidi w:val="0"/>
        <w:adjustRightInd w:val="0"/>
        <w:snapToGrid w:val="0"/>
        <w:spacing w:before="0" w:after="0" w:line="360" w:lineRule="auto"/>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（一）</w:t>
      </w:r>
      <w:r>
        <w:rPr>
          <w:rFonts w:hint="eastAsia" w:ascii="黑体" w:hAnsi="黑体" w:eastAsia="黑体" w:cs="黑体"/>
          <w:b w:val="0"/>
          <w:bCs w:val="0"/>
          <w:sz w:val="28"/>
          <w:szCs w:val="28"/>
          <w:lang w:eastAsia="zh-CN"/>
        </w:rPr>
        <w:t>能动司法下的履职方向有待明确</w:t>
      </w:r>
    </w:p>
    <w:p>
      <w:pPr>
        <w:pageBreakBefore w:val="0"/>
        <w:widowControl w:val="0"/>
        <w:kinsoku/>
        <w:wordWrap/>
        <w:overflowPunct/>
        <w:topLinePunct w:val="0"/>
        <w:autoSpaceDE/>
        <w:autoSpaceDN/>
        <w:bidi w:val="0"/>
        <w:adjustRightInd w:val="0"/>
        <w:snapToGrid w:val="0"/>
        <w:spacing w:line="360" w:lineRule="auto"/>
        <w:ind w:firstLine="420"/>
        <w:textAlignment w:val="auto"/>
        <w:rPr>
          <w:rFonts w:ascii="宋体" w:hAnsi="宋体" w:eastAsia="宋体"/>
          <w:sz w:val="24"/>
          <w:szCs w:val="24"/>
        </w:rPr>
      </w:pPr>
      <w:r>
        <w:rPr>
          <w:rFonts w:hint="eastAsia" w:ascii="宋体" w:hAnsi="宋体" w:eastAsia="宋体"/>
          <w:sz w:val="24"/>
          <w:szCs w:val="24"/>
        </w:rPr>
        <w:t>新《</w:t>
      </w:r>
      <w:r>
        <w:rPr>
          <w:rFonts w:hint="eastAsia" w:hAnsi="宋体" w:cs="Times New Roman"/>
          <w:sz w:val="24"/>
          <w:szCs w:val="24"/>
          <w:lang w:eastAsia="zh-CN"/>
        </w:rPr>
        <w:t>中华人民共和国</w:t>
      </w:r>
      <w:r>
        <w:rPr>
          <w:rFonts w:hint="eastAsia" w:ascii="宋体" w:hAnsi="宋体" w:eastAsia="宋体"/>
          <w:sz w:val="24"/>
          <w:szCs w:val="24"/>
        </w:rPr>
        <w:t>未成年人保护法》实施前，高检院推动开展妇女儿童权益保护领域等外探索，各地检察机关在未成年人检察公益诉讼工作上进行了多领域的延伸探索。重庆等部分地区对未成年人检察公益诉讼以地方性法规的形式来明确规定。新《</w:t>
      </w:r>
      <w:r>
        <w:rPr>
          <w:rFonts w:hint="eastAsia" w:hAnsi="宋体" w:cs="Times New Roman"/>
          <w:sz w:val="24"/>
          <w:szCs w:val="24"/>
          <w:lang w:eastAsia="zh-CN"/>
        </w:rPr>
        <w:t>中华人民共和国</w:t>
      </w:r>
      <w:r>
        <w:rPr>
          <w:rFonts w:hint="eastAsia" w:ascii="宋体" w:hAnsi="宋体" w:eastAsia="宋体"/>
          <w:sz w:val="24"/>
          <w:szCs w:val="24"/>
        </w:rPr>
        <w:t>未成年人保护法》的修订出台，开展未成年人检察公益诉讼不再受制于传统检察公益诉讼职能范围，《</w:t>
      </w:r>
      <w:r>
        <w:rPr>
          <w:rFonts w:hint="eastAsia" w:hAnsi="宋体" w:cs="Times New Roman"/>
          <w:sz w:val="24"/>
          <w:szCs w:val="24"/>
          <w:lang w:eastAsia="zh-CN"/>
        </w:rPr>
        <w:t>中华人民共和国</w:t>
      </w:r>
      <w:r>
        <w:rPr>
          <w:rFonts w:hint="eastAsia" w:ascii="宋体" w:hAnsi="宋体" w:eastAsia="宋体"/>
          <w:sz w:val="24"/>
          <w:szCs w:val="24"/>
        </w:rPr>
        <w:t>未成年人保护法》第一百零六条</w:t>
      </w:r>
      <w:r>
        <w:rPr>
          <w:rStyle w:val="10"/>
          <w:rFonts w:ascii="宋体" w:hAnsi="宋体" w:eastAsia="宋体"/>
          <w:sz w:val="24"/>
          <w:szCs w:val="24"/>
        </w:rPr>
        <w:footnoteReference w:id="7"/>
      </w:r>
      <w:r>
        <w:rPr>
          <w:rFonts w:hint="eastAsia" w:ascii="宋体" w:hAnsi="宋体" w:eastAsia="宋体"/>
          <w:sz w:val="24"/>
          <w:szCs w:val="24"/>
        </w:rPr>
        <w:t>明确赋予了检察机关对涉及未成年人权益的公益诉讼职责，解决了“等”外探索“无法可依”的窘困局面。</w:t>
      </w:r>
    </w:p>
    <w:p>
      <w:pPr>
        <w:pageBreakBefore w:val="0"/>
        <w:widowControl w:val="0"/>
        <w:kinsoku/>
        <w:wordWrap/>
        <w:overflowPunct/>
        <w:topLinePunct w:val="0"/>
        <w:autoSpaceDE/>
        <w:autoSpaceDN/>
        <w:bidi w:val="0"/>
        <w:adjustRightInd w:val="0"/>
        <w:snapToGrid w:val="0"/>
        <w:spacing w:line="360" w:lineRule="auto"/>
        <w:ind w:firstLine="420"/>
        <w:textAlignment w:val="auto"/>
        <w:rPr>
          <w:rFonts w:ascii="宋体" w:hAnsi="宋体" w:eastAsia="宋体"/>
          <w:sz w:val="24"/>
          <w:szCs w:val="24"/>
        </w:rPr>
      </w:pPr>
      <w:r>
        <w:rPr>
          <w:rFonts w:hint="eastAsia" w:ascii="宋体" w:hAnsi="宋体" w:eastAsia="宋体"/>
          <w:sz w:val="24"/>
          <w:szCs w:val="24"/>
          <w:lang w:eastAsia="zh-CN"/>
        </w:rPr>
        <w:t>未成年人检察公益诉讼工作已不再是“等外探索”，而是成为“法定之责”。如何积极稳妥全面推进未成年人检察公益诉讼工作，成为未检部门必须思考的问题。</w:t>
      </w:r>
      <w:r>
        <w:rPr>
          <w:rFonts w:hint="eastAsia" w:ascii="宋体" w:hAnsi="宋体" w:eastAsia="宋体"/>
          <w:sz w:val="24"/>
          <w:szCs w:val="24"/>
        </w:rPr>
        <w:t>修订后的《</w:t>
      </w:r>
      <w:r>
        <w:rPr>
          <w:rFonts w:hint="eastAsia" w:hAnsi="宋体" w:cs="Times New Roman"/>
          <w:sz w:val="24"/>
          <w:szCs w:val="24"/>
          <w:lang w:eastAsia="zh-CN"/>
        </w:rPr>
        <w:t>中华人民共和国</w:t>
      </w:r>
      <w:r>
        <w:rPr>
          <w:rFonts w:hint="eastAsia" w:ascii="宋体" w:hAnsi="宋体" w:eastAsia="宋体"/>
          <w:sz w:val="24"/>
          <w:szCs w:val="24"/>
        </w:rPr>
        <w:t>未成年人保护法》</w:t>
      </w:r>
      <w:r>
        <w:rPr>
          <w:rFonts w:hint="eastAsia" w:ascii="宋体" w:hAnsi="宋体" w:eastAsia="宋体"/>
          <w:sz w:val="24"/>
          <w:szCs w:val="24"/>
          <w:lang w:eastAsia="zh-CN"/>
        </w:rPr>
        <w:t>明确了</w:t>
      </w:r>
      <w:r>
        <w:rPr>
          <w:rFonts w:hint="eastAsia" w:ascii="宋体" w:hAnsi="宋体" w:eastAsia="宋体"/>
          <w:sz w:val="24"/>
          <w:szCs w:val="24"/>
        </w:rPr>
        <w:t>对未成年人公益诉讼具体领域进行限制，这意味着未成年人检察公益诉讼可以在更广领域、更广空间开展，这对于刚从“等”外探索中走出来的检察官而言，未成年人行政公益诉讼工作空间更大，同时更是千头万绪。如何在司法实践中进一步明确保护的领域、在办案过程中去关注社会转型期间未成年人群体亟需保护的公共利益、如何完善办案的程序和机制，考验检察机关尤其是基层检察机关的机制</w:t>
      </w:r>
      <w:r>
        <w:rPr>
          <w:rFonts w:hint="eastAsia" w:ascii="宋体" w:hAnsi="宋体" w:eastAsia="宋体"/>
          <w:sz w:val="24"/>
          <w:szCs w:val="24"/>
          <w:lang w:eastAsia="zh-CN"/>
        </w:rPr>
        <w:t>保障</w:t>
      </w:r>
      <w:r>
        <w:rPr>
          <w:rFonts w:hint="eastAsia" w:ascii="宋体" w:hAnsi="宋体" w:eastAsia="宋体"/>
          <w:sz w:val="24"/>
          <w:szCs w:val="24"/>
        </w:rPr>
        <w:t>和实践能力。</w:t>
      </w:r>
    </w:p>
    <w:p>
      <w:pPr>
        <w:pStyle w:val="4"/>
        <w:pageBreakBefore w:val="0"/>
        <w:widowControl w:val="0"/>
        <w:kinsoku/>
        <w:wordWrap/>
        <w:overflowPunct/>
        <w:topLinePunct w:val="0"/>
        <w:autoSpaceDE/>
        <w:autoSpaceDN/>
        <w:bidi w:val="0"/>
        <w:adjustRightInd w:val="0"/>
        <w:snapToGrid w:val="0"/>
        <w:spacing w:before="0" w:after="0" w:line="360" w:lineRule="auto"/>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（二）多</w:t>
      </w:r>
      <w:r>
        <w:rPr>
          <w:rFonts w:hint="eastAsia" w:ascii="黑体" w:hAnsi="黑体" w:eastAsia="黑体" w:cs="黑体"/>
          <w:b w:val="0"/>
          <w:bCs w:val="0"/>
          <w:sz w:val="28"/>
          <w:szCs w:val="28"/>
          <w:lang w:eastAsia="zh-CN"/>
        </w:rPr>
        <w:t>元</w:t>
      </w:r>
      <w:r>
        <w:rPr>
          <w:rFonts w:hint="eastAsia" w:ascii="黑体" w:hAnsi="黑体" w:eastAsia="黑体" w:cs="黑体"/>
          <w:b w:val="0"/>
          <w:bCs w:val="0"/>
          <w:sz w:val="28"/>
          <w:szCs w:val="28"/>
        </w:rPr>
        <w:t>治理</w:t>
      </w:r>
      <w:r>
        <w:rPr>
          <w:rFonts w:hint="eastAsia" w:ascii="黑体" w:hAnsi="黑体" w:eastAsia="黑体" w:cs="黑体"/>
          <w:b w:val="0"/>
          <w:bCs w:val="0"/>
          <w:sz w:val="28"/>
          <w:szCs w:val="28"/>
          <w:lang w:eastAsia="zh-CN"/>
        </w:rPr>
        <w:t>下的</w:t>
      </w:r>
      <w:r>
        <w:rPr>
          <w:rFonts w:hint="eastAsia" w:ascii="黑体" w:hAnsi="黑体" w:eastAsia="黑体" w:cs="黑体"/>
          <w:b w:val="0"/>
          <w:bCs w:val="0"/>
          <w:sz w:val="28"/>
          <w:szCs w:val="28"/>
        </w:rPr>
        <w:t>诉讼对象难</w:t>
      </w:r>
      <w:r>
        <w:rPr>
          <w:rFonts w:hint="eastAsia" w:ascii="黑体" w:hAnsi="黑体" w:eastAsia="黑体" w:cs="黑体"/>
          <w:b w:val="0"/>
          <w:bCs w:val="0"/>
          <w:sz w:val="28"/>
          <w:szCs w:val="28"/>
          <w:lang w:eastAsia="zh-CN"/>
        </w:rPr>
        <w:t>以确</w:t>
      </w:r>
      <w:r>
        <w:rPr>
          <w:rFonts w:hint="eastAsia" w:ascii="黑体" w:hAnsi="黑体" w:eastAsia="黑体" w:cs="黑体"/>
          <w:b w:val="0"/>
          <w:bCs w:val="0"/>
          <w:sz w:val="28"/>
          <w:szCs w:val="28"/>
        </w:rPr>
        <w:t>定</w:t>
      </w:r>
    </w:p>
    <w:p>
      <w:pPr>
        <w:pageBreakBefore w:val="0"/>
        <w:widowControl w:val="0"/>
        <w:kinsoku/>
        <w:wordWrap/>
        <w:overflowPunct/>
        <w:topLinePunct w:val="0"/>
        <w:autoSpaceDE/>
        <w:autoSpaceDN/>
        <w:bidi w:val="0"/>
        <w:adjustRightInd w:val="0"/>
        <w:snapToGrid w:val="0"/>
        <w:spacing w:line="360" w:lineRule="auto"/>
        <w:ind w:firstLine="420"/>
        <w:textAlignment w:val="auto"/>
        <w:rPr>
          <w:rFonts w:ascii="宋体" w:hAnsi="宋体" w:eastAsia="宋体"/>
          <w:sz w:val="24"/>
          <w:szCs w:val="24"/>
        </w:rPr>
      </w:pPr>
      <w:r>
        <w:rPr>
          <w:rFonts w:hint="eastAsia" w:ascii="宋体" w:hAnsi="宋体" w:eastAsia="宋体"/>
          <w:sz w:val="24"/>
          <w:szCs w:val="24"/>
        </w:rPr>
        <w:t>根据《人民检察院公益诉讼办案规则》第七十五条规定，人民检察院认为行政机关不依法履行职责，致使国家利益或者社会公共利益受到侵害的，应当报检察长决定向行政机关提出检察建议。对此，公益诉讼必须针对具体的行政机关提出。然而在实务中经常出现多头管理、九龙治水的难题。</w:t>
      </w:r>
    </w:p>
    <w:p>
      <w:pPr>
        <w:pageBreakBefore w:val="0"/>
        <w:widowControl w:val="0"/>
        <w:kinsoku/>
        <w:wordWrap/>
        <w:overflowPunct/>
        <w:topLinePunct w:val="0"/>
        <w:autoSpaceDE/>
        <w:autoSpaceDN/>
        <w:bidi w:val="0"/>
        <w:adjustRightInd w:val="0"/>
        <w:snapToGrid w:val="0"/>
        <w:spacing w:line="360" w:lineRule="auto"/>
        <w:ind w:firstLine="420"/>
        <w:textAlignment w:val="auto"/>
        <w:rPr>
          <w:rFonts w:ascii="宋体" w:hAnsi="宋体" w:eastAsia="宋体"/>
          <w:sz w:val="24"/>
          <w:szCs w:val="24"/>
        </w:rPr>
      </w:pPr>
      <w:r>
        <w:rPr>
          <w:rFonts w:hint="eastAsia" w:ascii="宋体" w:hAnsi="宋体" w:eastAsia="宋体"/>
          <w:sz w:val="24"/>
          <w:szCs w:val="24"/>
        </w:rPr>
        <w:t>未成年人保护是全社会的共同责任，是国家对未成年人成长关爱以及重视程度的体现，但容易引发“共责虚化”的危机。职能部门多元、法律规定分散容易导致权责不清，在具体问题上容易发生推诿扯皮，以致未成年人保护领域有法不依，执法不严的现象存在。</w:t>
      </w:r>
      <w:r>
        <w:rPr>
          <w:rStyle w:val="10"/>
          <w:rFonts w:hint="eastAsia" w:ascii="宋体" w:hAnsi="宋体" w:eastAsia="宋体"/>
          <w:sz w:val="24"/>
          <w:szCs w:val="24"/>
        </w:rPr>
        <w:footnoteReference w:id="8"/>
      </w:r>
      <w:r>
        <w:rPr>
          <w:rFonts w:hint="eastAsia" w:ascii="宋体" w:hAnsi="宋体" w:eastAsia="宋体"/>
          <w:sz w:val="24"/>
          <w:szCs w:val="24"/>
        </w:rPr>
        <w:t>顺德区院在办理相关案件中经常为确定诉讼对象耗费大量的时间和精力。如窨井盖的监管，国务院《城镇排水与污水处理条例》第五条的规定，道路井盖维护原则上是“谁所有、谁负责”。然而，道路上的窨井盖五花八门，产权单位涉及城建、电信、移动、联通、广电、供电、燃气、供水等，且公共道路上又有市政道路和村级道路之分，市政道路上的窨井盖和村级道路上的窨井盖管理又有不同。因此，窨井盖的监管涉及城建、市政、电力、通信多部门。在这种多头治理的情形下，就容易产生互相推诿的情形。实务中，检察机关不仅难以监督，即使启动公益诉讼程序最后也难以落实解决问题。同样，向未成年人兜售香烟、无证售卖香烟等违法行为主责监管部门也尚不明晰。根据《</w:t>
      </w:r>
      <w:r>
        <w:rPr>
          <w:rFonts w:hint="eastAsia" w:hAnsi="宋体" w:cs="Times New Roman"/>
          <w:sz w:val="24"/>
          <w:szCs w:val="24"/>
          <w:lang w:eastAsia="zh-CN"/>
        </w:rPr>
        <w:t>中华人民共和国</w:t>
      </w:r>
      <w:r>
        <w:rPr>
          <w:rFonts w:hint="eastAsia" w:ascii="宋体" w:hAnsi="宋体" w:eastAsia="宋体"/>
          <w:sz w:val="24"/>
          <w:szCs w:val="24"/>
        </w:rPr>
        <w:t>烟草专卖法》第四条规定，烟草专卖行政主管部门主管烟草专卖工作。然而，《</w:t>
      </w:r>
      <w:r>
        <w:rPr>
          <w:rFonts w:hint="eastAsia" w:hAnsi="宋体" w:cs="Times New Roman"/>
          <w:sz w:val="24"/>
          <w:szCs w:val="24"/>
          <w:lang w:eastAsia="zh-CN"/>
        </w:rPr>
        <w:t>中华人民共和国</w:t>
      </w:r>
      <w:r>
        <w:rPr>
          <w:rFonts w:hint="eastAsia" w:ascii="宋体" w:hAnsi="宋体" w:eastAsia="宋体"/>
          <w:sz w:val="24"/>
          <w:szCs w:val="24"/>
        </w:rPr>
        <w:t>烟草专卖法》第三十二条表明，无烟草专卖零售许可证经营烟草零售的，由工商行政管理部门处理。办案人员在确定诉讼对象的过程中往往存在疑虑和摇摆，同样办理无证零售香烟行政公益诉讼案件，顺德区院在2019年12月对该类案件诉前检察建议的发送对象确定为顺德区市场监督管理局和区烟草专卖局，但在2020年办理的类案中仅向区烟草专卖局发送。</w:t>
      </w:r>
    </w:p>
    <w:p>
      <w:pPr>
        <w:pStyle w:val="4"/>
        <w:pageBreakBefore w:val="0"/>
        <w:widowControl w:val="0"/>
        <w:kinsoku/>
        <w:wordWrap/>
        <w:overflowPunct/>
        <w:topLinePunct w:val="0"/>
        <w:autoSpaceDE/>
        <w:autoSpaceDN/>
        <w:bidi w:val="0"/>
        <w:adjustRightInd w:val="0"/>
        <w:snapToGrid w:val="0"/>
        <w:spacing w:before="0" w:after="0" w:line="360" w:lineRule="auto"/>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（三）调查</w:t>
      </w:r>
      <w:r>
        <w:rPr>
          <w:rFonts w:hint="eastAsia" w:ascii="黑体" w:hAnsi="黑体" w:eastAsia="黑体" w:cs="黑体"/>
          <w:b w:val="0"/>
          <w:bCs w:val="0"/>
          <w:sz w:val="28"/>
          <w:szCs w:val="28"/>
          <w:lang w:eastAsia="zh-CN"/>
        </w:rPr>
        <w:t>核实的赋权与能力不足</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sz w:val="24"/>
          <w:szCs w:val="24"/>
        </w:rPr>
      </w:pPr>
      <w:r>
        <w:rPr>
          <w:rFonts w:hint="eastAsia" w:ascii="宋体" w:hAnsi="宋体" w:eastAsia="宋体"/>
          <w:sz w:val="24"/>
          <w:szCs w:val="24"/>
        </w:rPr>
        <w:t>公益诉讼案件的办理过程，实际上包括了案件的调查取证，立案审查，出庭起诉等等。当前，根据统一集中办理的要求，未成年人公益诉讼案件由未检部门统一办理。然而，未检的检察官一直从事的是关于涉未成年人刑检案件的审查办理，不仅对于未成年人公益诉讼案件的办理不熟悉，对于公益诉讼案件的调查取证工作更是一个新领域。未检检察官虽然对未成年人的身心特点更为熟悉，但未学习过侦查的理论，也没有侦查的实战经验，调查取证的专业能力欠缺，特别是在一些较为复杂的案件中更为明显。</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sz w:val="24"/>
          <w:szCs w:val="24"/>
        </w:rPr>
      </w:pPr>
      <w:r>
        <w:rPr>
          <w:rFonts w:hint="eastAsia" w:ascii="宋体" w:hAnsi="宋体" w:eastAsia="宋体"/>
          <w:sz w:val="24"/>
          <w:szCs w:val="24"/>
        </w:rPr>
        <w:t>《人民检察院公益诉讼办案规则》公布前，公益诉讼案件的调查手段仅限于《检察机关行政公益诉讼案件办案指南（试行）》所列的六种调查方式</w:t>
      </w:r>
      <w:r>
        <w:rPr>
          <w:rStyle w:val="10"/>
          <w:rFonts w:ascii="宋体" w:hAnsi="宋体" w:eastAsia="宋体"/>
          <w:sz w:val="24"/>
          <w:szCs w:val="24"/>
        </w:rPr>
        <w:footnoteReference w:id="9"/>
      </w:r>
      <w:r>
        <w:rPr>
          <w:rFonts w:hint="eastAsia" w:ascii="宋体" w:hAnsi="宋体" w:eastAsia="宋体"/>
          <w:sz w:val="24"/>
          <w:szCs w:val="24"/>
        </w:rPr>
        <w:t>。首先，检察机关对外收集证据的时候，能否将《检察机关行政公益诉讼案件办案指南（试行）》的规定作为依据有待商榷。其次，上述罗列的调查方式没有强制力的保障。在初期的未成年人检察公益诉讼案件办理过程中，调查主要处于检察官主观能动性发挥阶段，特别是在相对人不配合的情况下。比如对于歌舞娱乐场所非法接纳或者招用未成年人案件调查取证过程中，娱乐场所负责人不愿意配合调查，特别是觉察到配合调查可能对其不利时则更为抗拒。在这种情况下检察机关没有有效的手段作为保障。《人民检察院公益诉讼办案规则》实施后，检察机关调查的法律依据得到了解决，但是仍然没有强制力的保障。如《人民检察院公益诉讼办案规则》第三十五条第二款</w:t>
      </w:r>
      <w:r>
        <w:rPr>
          <w:rStyle w:val="10"/>
          <w:rFonts w:ascii="宋体" w:hAnsi="宋体" w:eastAsia="宋体"/>
          <w:sz w:val="24"/>
          <w:szCs w:val="24"/>
        </w:rPr>
        <w:footnoteReference w:id="10"/>
      </w:r>
      <w:r>
        <w:rPr>
          <w:rFonts w:hint="eastAsia" w:ascii="宋体" w:hAnsi="宋体" w:eastAsia="宋体"/>
          <w:sz w:val="24"/>
          <w:szCs w:val="24"/>
        </w:rPr>
        <w:t>、第四十五条</w:t>
      </w:r>
      <w:r>
        <w:rPr>
          <w:rStyle w:val="10"/>
          <w:rFonts w:ascii="宋体" w:hAnsi="宋体" w:eastAsia="宋体"/>
          <w:sz w:val="24"/>
          <w:szCs w:val="24"/>
        </w:rPr>
        <w:footnoteReference w:id="11"/>
      </w:r>
      <w:r>
        <w:rPr>
          <w:rFonts w:hint="eastAsia" w:ascii="宋体" w:hAnsi="宋体" w:eastAsia="宋体"/>
          <w:sz w:val="24"/>
          <w:szCs w:val="24"/>
        </w:rPr>
        <w:t>规定，从这些规定可以看出，检察公益诉讼的调查仍然没有必要的强制性措施，检察机关在调查取证过程中仍然存在保障不足的问题。囿于没有执法权，检察机关在开展调查取证过程中往往难以固定证据。如在调查某歌舞娱乐场所是否存在违法接纳未成年人的情况，因为没有执法权，不能检查进入娱乐场所的人是否未成年人。而联合行政机关执法检查则存在一个悖论：行政公益诉讼本身就是对行政机关进行监督，联合执法部门检查再对其进行监督往往难以让人接受。同时，不同于窨井盖暴露在阳光下，娱乐场所等往往具有较强隐蔽性，开展调查取证的检察人员大都未接受过专业侦查培训，甚少有偷拍设备和防身设备，在特定场所开展工作除遇调查取证难的问题外，还存在一定的人身危险。</w:t>
      </w:r>
    </w:p>
    <w:p>
      <w:pPr>
        <w:pStyle w:val="4"/>
        <w:pageBreakBefore w:val="0"/>
        <w:widowControl w:val="0"/>
        <w:kinsoku/>
        <w:wordWrap/>
        <w:overflowPunct/>
        <w:topLinePunct w:val="0"/>
        <w:autoSpaceDE/>
        <w:autoSpaceDN/>
        <w:bidi w:val="0"/>
        <w:adjustRightInd w:val="0"/>
        <w:snapToGrid w:val="0"/>
        <w:spacing w:before="0" w:after="0" w:line="360" w:lineRule="auto"/>
        <w:ind w:firstLine="560" w:firstLineChars="200"/>
        <w:textAlignment w:val="auto"/>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rPr>
        <w:t>（四）</w:t>
      </w:r>
      <w:r>
        <w:rPr>
          <w:rFonts w:hint="eastAsia" w:ascii="黑体" w:hAnsi="黑体" w:eastAsia="黑体" w:cs="黑体"/>
          <w:b w:val="0"/>
          <w:bCs w:val="0"/>
          <w:sz w:val="28"/>
          <w:szCs w:val="28"/>
          <w:lang w:eastAsia="zh-CN"/>
        </w:rPr>
        <w:t>监督</w:t>
      </w:r>
      <w:r>
        <w:rPr>
          <w:rFonts w:hint="eastAsia" w:ascii="黑体" w:hAnsi="黑体" w:eastAsia="黑体" w:cs="黑体"/>
          <w:b w:val="0"/>
          <w:bCs w:val="0"/>
          <w:sz w:val="28"/>
          <w:szCs w:val="28"/>
        </w:rPr>
        <w:t>线索</w:t>
      </w:r>
      <w:r>
        <w:rPr>
          <w:rFonts w:hint="eastAsia" w:ascii="黑体" w:hAnsi="黑体" w:eastAsia="黑体" w:cs="黑体"/>
          <w:b w:val="0"/>
          <w:bCs w:val="0"/>
          <w:sz w:val="28"/>
          <w:szCs w:val="28"/>
          <w:lang w:eastAsia="zh-CN"/>
        </w:rPr>
        <w:t>的“外源”匮乏</w:t>
      </w:r>
    </w:p>
    <w:p>
      <w:pPr>
        <w:pStyle w:val="2"/>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Ansi="宋体" w:cs="Times New Roman"/>
          <w:sz w:val="24"/>
          <w:szCs w:val="24"/>
        </w:rPr>
      </w:pPr>
      <w:r>
        <w:rPr>
          <w:rFonts w:hint="eastAsia" w:hAnsi="宋体" w:cs="Times New Roman"/>
          <w:sz w:val="24"/>
          <w:szCs w:val="24"/>
        </w:rPr>
        <w:t>最高检《人民检察院公益诉讼办案规则》公布前，根据最高检2018年3月印发的《检察机关行政公益诉讼案件办案指南（试行）》规定，行政公益诉讼案件线索限于检察机关在履行职责</w:t>
      </w:r>
      <w:r>
        <w:rPr>
          <w:rStyle w:val="10"/>
          <w:rFonts w:hAnsi="宋体" w:cs="Times New Roman"/>
          <w:sz w:val="24"/>
          <w:szCs w:val="24"/>
        </w:rPr>
        <w:footnoteReference w:id="12"/>
      </w:r>
      <w:r>
        <w:rPr>
          <w:rFonts w:hint="eastAsia" w:hAnsi="宋体" w:cs="Times New Roman"/>
          <w:sz w:val="24"/>
          <w:szCs w:val="24"/>
        </w:rPr>
        <w:t>中发现的情形。从顺德区院2019年至今办理的未成年人检察公益诉讼案件线索来源看，无一例外都是检察机关主动发现的，其中主要为办案排查发现以及履行公益监督职责发现，线索发现机制单一，办案数量受限。</w:t>
      </w:r>
    </w:p>
    <w:p>
      <w:pPr>
        <w:pStyle w:val="2"/>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Ansi="宋体" w:cs="Times New Roman"/>
          <w:sz w:val="24"/>
          <w:szCs w:val="24"/>
        </w:rPr>
      </w:pPr>
      <w:r>
        <w:rPr>
          <w:rFonts w:hint="eastAsia" w:hAnsi="宋体" w:cs="Times New Roman"/>
          <w:sz w:val="24"/>
          <w:szCs w:val="24"/>
        </w:rPr>
        <w:t>近三年来，顺德区院三成案件线索来源于刑事案件的办理，但是“案中案”这一线索发现渠道并不可能成为主流，因为涉未刑事案件在办案中所占比重并不高，仅仅以刑事案件办理作为线索载体并不能全面有效保护未成年人公共利益。即便检察机关可以通过履行公益监督职责去挖掘案件线索，但通过该渠道排查线索往往不具有直接性，且精准排查到主要问题难度较大。相比之下，群众和组织的控告、举报及相关线索信息，能够更加直接地反映未成年人的权益保护的问题和需求。然而，控告、举报这一涉未行政公益诉讼线索来源在顺德区院尚未实现零的突破，一定程度上反映出社会大众对于检察机关公益诉讼这一职能并不知晓，或者虽然知晓但认为不具解决问题的直接性，当未成年人合法权益受到侵犯时，要么选择沉默，要么选择向主管部门投诉或者公安机关报案。线索外部来源匮乏，更加考验检察机关拓宽线索来源有效机制以及开展未检公益诉讼工作检察官发现线索的责任心与专业能力。</w:t>
      </w:r>
    </w:p>
    <w:p>
      <w:pPr>
        <w:pageBreakBefore w:val="0"/>
        <w:widowControl w:val="0"/>
        <w:numPr>
          <w:ilvl w:val="0"/>
          <w:numId w:val="1"/>
        </w:numPr>
        <w:kinsoku/>
        <w:wordWrap/>
        <w:overflowPunct/>
        <w:topLinePunct w:val="0"/>
        <w:autoSpaceDE/>
        <w:autoSpaceDN/>
        <w:bidi w:val="0"/>
        <w:adjustRightInd w:val="0"/>
        <w:snapToGrid w:val="0"/>
        <w:spacing w:line="360" w:lineRule="auto"/>
        <w:ind w:firstLine="600" w:firstLineChars="200"/>
        <w:textAlignment w:val="auto"/>
        <w:rPr>
          <w:rFonts w:ascii="黑体" w:hAnsi="黑体" w:eastAsia="黑体" w:cs="黑体"/>
          <w:sz w:val="30"/>
          <w:szCs w:val="30"/>
        </w:rPr>
      </w:pPr>
      <w:r>
        <w:rPr>
          <w:rFonts w:hint="eastAsia" w:ascii="黑体" w:hAnsi="黑体" w:eastAsia="黑体" w:cs="黑体"/>
          <w:sz w:val="30"/>
          <w:szCs w:val="30"/>
          <w:lang w:eastAsia="zh-CN"/>
        </w:rPr>
        <w:t>困境破解：</w:t>
      </w:r>
      <w:r>
        <w:rPr>
          <w:rFonts w:hint="eastAsia" w:ascii="黑体" w:hAnsi="黑体" w:eastAsia="黑体" w:cs="黑体"/>
          <w:sz w:val="30"/>
          <w:szCs w:val="30"/>
        </w:rPr>
        <w:t>未成年人</w:t>
      </w:r>
      <w:r>
        <w:rPr>
          <w:rFonts w:hint="eastAsia" w:ascii="黑体" w:hAnsi="黑体" w:eastAsia="黑体" w:cs="黑体"/>
          <w:sz w:val="30"/>
          <w:szCs w:val="30"/>
          <w:lang w:eastAsia="zh-CN"/>
        </w:rPr>
        <w:t>检察</w:t>
      </w:r>
      <w:r>
        <w:rPr>
          <w:rFonts w:hint="eastAsia" w:ascii="黑体" w:hAnsi="黑体" w:eastAsia="黑体" w:cs="黑体"/>
          <w:sz w:val="30"/>
          <w:szCs w:val="30"/>
        </w:rPr>
        <w:t>行政公益诉讼的</w:t>
      </w:r>
      <w:r>
        <w:rPr>
          <w:rFonts w:hint="eastAsia" w:ascii="黑体" w:hAnsi="黑体" w:eastAsia="黑体" w:cs="黑体"/>
          <w:sz w:val="30"/>
          <w:szCs w:val="30"/>
          <w:lang w:eastAsia="zh-CN"/>
        </w:rPr>
        <w:t>路径建构</w:t>
      </w:r>
    </w:p>
    <w:p>
      <w:pPr>
        <w:pStyle w:val="4"/>
        <w:pageBreakBefore w:val="0"/>
        <w:widowControl w:val="0"/>
        <w:kinsoku/>
        <w:wordWrap/>
        <w:overflowPunct/>
        <w:topLinePunct w:val="0"/>
        <w:autoSpaceDE/>
        <w:autoSpaceDN/>
        <w:bidi w:val="0"/>
        <w:adjustRightInd w:val="0"/>
        <w:snapToGrid w:val="0"/>
        <w:spacing w:before="0" w:after="0" w:line="360" w:lineRule="auto"/>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（一）明确受案范围</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sz w:val="24"/>
          <w:szCs w:val="24"/>
        </w:rPr>
      </w:pPr>
      <w:r>
        <w:rPr>
          <w:rFonts w:hint="eastAsia" w:ascii="宋体" w:hAnsi="宋体" w:eastAsia="宋体"/>
          <w:sz w:val="24"/>
          <w:szCs w:val="24"/>
        </w:rPr>
        <w:t>推进未成年人行政公益诉讼工作，从逻辑起点看，必须明确受案范围。《</w:t>
      </w:r>
      <w:r>
        <w:rPr>
          <w:rFonts w:hint="eastAsia" w:hAnsi="宋体" w:cs="Times New Roman"/>
          <w:sz w:val="24"/>
          <w:szCs w:val="24"/>
          <w:lang w:eastAsia="zh-CN"/>
        </w:rPr>
        <w:t>中华人民共和国</w:t>
      </w:r>
      <w:r>
        <w:rPr>
          <w:rFonts w:hint="eastAsia" w:ascii="宋体" w:hAnsi="宋体" w:eastAsia="宋体"/>
          <w:sz w:val="24"/>
          <w:szCs w:val="24"/>
        </w:rPr>
        <w:t>未成年人保护法》未修订出台前，重庆市人民检察院率先确定未成年人“5+N”公益诉讼案件范围，将未成年人公益诉讼案件划分为校园安全类、校园周边安全类、特殊产品侵害类、网络信息侵害类、相关权益侵害类和其他。该实践探索给予我们以启示：对未成年人受侵害权益类型进行分类划分，不仅可以明晰未成年人检察公益诉讼的受案范围，同时有利于在空白之域探索创新。</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sz w:val="24"/>
          <w:szCs w:val="24"/>
        </w:rPr>
      </w:pPr>
      <w:r>
        <w:rPr>
          <w:rFonts w:hint="eastAsia" w:ascii="宋体" w:hAnsi="宋体" w:eastAsia="宋体"/>
          <w:sz w:val="24"/>
          <w:szCs w:val="24"/>
        </w:rPr>
        <w:t>新修订的《</w:t>
      </w:r>
      <w:r>
        <w:rPr>
          <w:rFonts w:hint="eastAsia" w:hAnsi="宋体" w:cs="Times New Roman"/>
          <w:sz w:val="24"/>
          <w:szCs w:val="24"/>
          <w:lang w:eastAsia="zh-CN"/>
        </w:rPr>
        <w:t>中华人民共和国</w:t>
      </w:r>
      <w:r>
        <w:rPr>
          <w:rFonts w:hint="eastAsia" w:ascii="宋体" w:hAnsi="宋体" w:eastAsia="宋体"/>
          <w:sz w:val="24"/>
          <w:szCs w:val="24"/>
        </w:rPr>
        <w:t>未成年人保护法》从家庭保护、学校保护、社会保护、网络保护、政府保护、司法保护等六个方面，较为全面地回应了当前未成年人保护存在的突出问题。基于该法的修订，大量涉及未成年人公共利益的规定得以明确规定。对此，检察机关可以未保法为索引，对不特定多数未成年人合法权益遭受损害或者面临危险的情况，进行类型化的公益诉讼司法保护。如可以类型化分为：1.校园及校园周边安全及权益类，主要包括生态环境、食品安全、教育权利、公共安全（校舍设施、交通安全、校车安全）、经营规范（校园周边禁止设置营业性娱乐场所、酒吧、互联网上网服务营业场所、禁止设置烟、酒、彩票销售网点）等领域；2.社会活动安全及权益类，主要包括：校外培训机构安全及收费规范、未成年人福利（《</w:t>
      </w:r>
      <w:r>
        <w:rPr>
          <w:rFonts w:hint="eastAsia" w:hAnsi="宋体" w:cs="Times New Roman"/>
          <w:sz w:val="24"/>
          <w:szCs w:val="24"/>
          <w:lang w:eastAsia="zh-CN"/>
        </w:rPr>
        <w:t>中华人民共和国</w:t>
      </w:r>
      <w:r>
        <w:rPr>
          <w:rFonts w:hint="eastAsia" w:ascii="宋体" w:hAnsi="宋体" w:eastAsia="宋体"/>
          <w:sz w:val="24"/>
          <w:szCs w:val="24"/>
        </w:rPr>
        <w:t>未成年人保护法》第四十</w:t>
      </w:r>
      <w:r>
        <w:rPr>
          <w:rFonts w:hint="eastAsia" w:ascii="宋体" w:hAnsi="宋体" w:eastAsia="宋体"/>
          <w:sz w:val="24"/>
          <w:szCs w:val="24"/>
          <w:highlight w:val="none"/>
        </w:rPr>
        <w:t>四条至第四十七条）、公共场所安全(《</w:t>
      </w:r>
      <w:r>
        <w:rPr>
          <w:rFonts w:hint="eastAsia" w:hAnsi="宋体" w:cs="Times New Roman"/>
          <w:sz w:val="24"/>
          <w:szCs w:val="24"/>
          <w:lang w:eastAsia="zh-CN"/>
        </w:rPr>
        <w:t>中华人民共和国</w:t>
      </w:r>
      <w:r>
        <w:rPr>
          <w:rFonts w:hint="eastAsia" w:ascii="宋体" w:hAnsi="宋体" w:eastAsia="宋体"/>
          <w:sz w:val="24"/>
          <w:szCs w:val="24"/>
          <w:highlight w:val="none"/>
        </w:rPr>
        <w:t>未成年人保护法》第五十七条)、经营规范（</w:t>
      </w:r>
      <w:r>
        <w:rPr>
          <w:rFonts w:hint="eastAsia" w:ascii="宋体" w:hAnsi="宋体" w:eastAsia="宋体"/>
          <w:sz w:val="24"/>
          <w:szCs w:val="24"/>
          <w:highlight w:val="none"/>
          <w:lang w:val="en-US" w:eastAsia="zh-CN"/>
        </w:rPr>
        <w:t>住宿经营者、</w:t>
      </w:r>
      <w:r>
        <w:rPr>
          <w:rFonts w:hint="eastAsia" w:ascii="宋体" w:hAnsi="宋体" w:eastAsia="宋体"/>
          <w:sz w:val="24"/>
          <w:szCs w:val="24"/>
          <w:highlight w:val="none"/>
        </w:rPr>
        <w:t>营业性娱乐场所、酒吧、互联网上网服务营业场所</w:t>
      </w:r>
      <w:r>
        <w:rPr>
          <w:rFonts w:hint="eastAsia" w:ascii="宋体" w:hAnsi="宋体" w:eastAsia="宋体"/>
          <w:sz w:val="24"/>
          <w:szCs w:val="24"/>
          <w:highlight w:val="none"/>
          <w:lang w:eastAsia="zh-CN"/>
        </w:rPr>
        <w:t>、</w:t>
      </w:r>
      <w:r>
        <w:rPr>
          <w:rFonts w:hint="eastAsia" w:ascii="宋体" w:hAnsi="宋体" w:eastAsia="宋体"/>
          <w:sz w:val="24"/>
          <w:szCs w:val="24"/>
          <w:highlight w:val="none"/>
        </w:rPr>
        <w:t>烟、酒、彩票销售网点</w:t>
      </w:r>
      <w:r>
        <w:rPr>
          <w:rFonts w:hint="eastAsia" w:ascii="宋体" w:hAnsi="宋体" w:eastAsia="宋体"/>
          <w:sz w:val="24"/>
          <w:szCs w:val="24"/>
          <w:highlight w:val="none"/>
          <w:lang w:val="en-US" w:eastAsia="zh-CN"/>
        </w:rPr>
        <w:t>规范接待、接纳、招用未成年人，不得向未成年人销售烟酒、彩票、管制刀具等</w:t>
      </w:r>
      <w:r>
        <w:rPr>
          <w:rFonts w:hint="eastAsia" w:ascii="宋体" w:hAnsi="宋体" w:eastAsia="宋体"/>
          <w:sz w:val="24"/>
          <w:szCs w:val="24"/>
          <w:highlight w:val="none"/>
        </w:rPr>
        <w:t>）等</w:t>
      </w:r>
      <w:r>
        <w:rPr>
          <w:rFonts w:hint="eastAsia" w:ascii="宋体" w:hAnsi="宋体" w:eastAsia="宋体"/>
          <w:sz w:val="24"/>
          <w:szCs w:val="24"/>
        </w:rPr>
        <w:t>；3.产品质量类，主要包括食品、药品领域，同时应当根据《</w:t>
      </w:r>
      <w:r>
        <w:rPr>
          <w:rFonts w:hint="eastAsia" w:hAnsi="宋体" w:cs="Times New Roman"/>
          <w:sz w:val="24"/>
          <w:szCs w:val="24"/>
          <w:lang w:eastAsia="zh-CN"/>
        </w:rPr>
        <w:t>中华人民共和国</w:t>
      </w:r>
      <w:r>
        <w:rPr>
          <w:rFonts w:hint="eastAsia" w:ascii="宋体" w:hAnsi="宋体" w:eastAsia="宋体"/>
          <w:sz w:val="24"/>
          <w:szCs w:val="24"/>
        </w:rPr>
        <w:t>未成年人保护法》第五十五条对产品的内涵和外延进行明确。此外，笔者认为可将图书、报刊、电影、广播电视节目、艺术作品、音象制品、电子出版物等纳入产品质量范围，具体为《</w:t>
      </w:r>
      <w:r>
        <w:rPr>
          <w:rFonts w:hint="eastAsia" w:hAnsi="宋体" w:cs="Times New Roman"/>
          <w:sz w:val="24"/>
          <w:szCs w:val="24"/>
          <w:lang w:eastAsia="zh-CN"/>
        </w:rPr>
        <w:t>中华人民共和国</w:t>
      </w:r>
      <w:r>
        <w:rPr>
          <w:rFonts w:hint="eastAsia" w:ascii="宋体" w:hAnsi="宋体" w:eastAsia="宋体"/>
          <w:sz w:val="24"/>
          <w:szCs w:val="24"/>
        </w:rPr>
        <w:t>未成年人保护法》第四十八条至第五十一条；4.网络安全保护类，</w:t>
      </w:r>
      <w:r>
        <w:rPr>
          <w:rFonts w:hint="eastAsia" w:ascii="宋体" w:hAnsi="宋体" w:eastAsia="宋体"/>
          <w:sz w:val="24"/>
          <w:szCs w:val="24"/>
          <w:lang w:eastAsia="zh-CN"/>
        </w:rPr>
        <w:t>具</w:t>
      </w:r>
      <w:r>
        <w:rPr>
          <w:rFonts w:hint="eastAsia" w:ascii="宋体" w:hAnsi="宋体" w:eastAsia="宋体"/>
          <w:sz w:val="24"/>
          <w:szCs w:val="24"/>
        </w:rPr>
        <w:t>体为《</w:t>
      </w:r>
      <w:r>
        <w:rPr>
          <w:rFonts w:hint="eastAsia" w:hAnsi="宋体" w:cs="Times New Roman"/>
          <w:sz w:val="24"/>
          <w:szCs w:val="24"/>
          <w:lang w:eastAsia="zh-CN"/>
        </w:rPr>
        <w:t>中华人民共和国</w:t>
      </w:r>
      <w:r>
        <w:rPr>
          <w:rFonts w:hint="eastAsia" w:ascii="宋体" w:hAnsi="宋体" w:eastAsia="宋体"/>
          <w:sz w:val="24"/>
          <w:szCs w:val="24"/>
        </w:rPr>
        <w:t>未成年人保护法》第五章；5.其他权益保护类，新闻媒体采访报道涉未成年人事件等不得侵害未成年人的名誉、隐私和合法权益（《</w:t>
      </w:r>
      <w:r>
        <w:rPr>
          <w:rFonts w:hint="eastAsia" w:hAnsi="宋体" w:cs="Times New Roman"/>
          <w:sz w:val="24"/>
          <w:szCs w:val="24"/>
          <w:lang w:eastAsia="zh-CN"/>
        </w:rPr>
        <w:t>中华人民共和国</w:t>
      </w:r>
      <w:r>
        <w:rPr>
          <w:rFonts w:hint="eastAsia" w:ascii="宋体" w:hAnsi="宋体" w:eastAsia="宋体"/>
          <w:sz w:val="24"/>
          <w:szCs w:val="24"/>
        </w:rPr>
        <w:t>未成年人保护法》第四十九条）、涉未成年人隐私和个人信息（据《</w:t>
      </w:r>
      <w:r>
        <w:rPr>
          <w:rFonts w:hint="eastAsia" w:hAnsi="宋体" w:cs="Times New Roman"/>
          <w:sz w:val="24"/>
          <w:szCs w:val="24"/>
          <w:lang w:eastAsia="zh-CN"/>
        </w:rPr>
        <w:t>中华人民共和国</w:t>
      </w:r>
      <w:r>
        <w:rPr>
          <w:rFonts w:hint="eastAsia" w:ascii="宋体" w:hAnsi="宋体" w:eastAsia="宋体"/>
          <w:sz w:val="24"/>
          <w:szCs w:val="24"/>
        </w:rPr>
        <w:t>未成年人保护法》第三条），如涉罪未成年人的前科封存等。同时，检察机关要因应司法实践中发现的新监督领域，针对未成年人检察公益诉讼领域内未成年人公共利益保护需求，及时明确和公布未成年人检察公益诉讼权益保护范围，为开展未行政公益诉讼工作提供方向和指引。</w:t>
      </w:r>
    </w:p>
    <w:p>
      <w:pPr>
        <w:pStyle w:val="4"/>
        <w:pageBreakBefore w:val="0"/>
        <w:widowControl w:val="0"/>
        <w:kinsoku/>
        <w:wordWrap/>
        <w:overflowPunct/>
        <w:topLinePunct w:val="0"/>
        <w:autoSpaceDE/>
        <w:autoSpaceDN/>
        <w:bidi w:val="0"/>
        <w:adjustRightInd w:val="0"/>
        <w:snapToGrid w:val="0"/>
        <w:spacing w:before="0" w:after="0" w:line="360" w:lineRule="auto"/>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（二）</w:t>
      </w:r>
      <w:r>
        <w:rPr>
          <w:rFonts w:hint="eastAsia" w:ascii="黑体" w:hAnsi="黑体" w:eastAsia="黑体" w:cs="黑体"/>
          <w:b w:val="0"/>
          <w:bCs w:val="0"/>
          <w:sz w:val="28"/>
          <w:szCs w:val="28"/>
          <w:lang w:eastAsia="zh-CN"/>
        </w:rPr>
        <w:t>厘清监督对象</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b/>
          <w:bCs/>
          <w:sz w:val="24"/>
          <w:szCs w:val="24"/>
        </w:rPr>
      </w:pPr>
      <w:r>
        <w:rPr>
          <w:rFonts w:hint="eastAsia" w:ascii="宋体" w:hAnsi="宋体" w:eastAsia="宋体"/>
          <w:sz w:val="24"/>
          <w:szCs w:val="24"/>
        </w:rPr>
        <w:t>对于职能交叉，笔者认为尽量确定唯一的主体可以一定程度上解决九龙治水导致主体难定的问题。《</w:t>
      </w:r>
      <w:r>
        <w:rPr>
          <w:rFonts w:ascii="宋体" w:hAnsi="宋体" w:eastAsia="宋体"/>
          <w:sz w:val="24"/>
          <w:szCs w:val="24"/>
        </w:rPr>
        <w:t>人民检察院</w:t>
      </w:r>
      <w:r>
        <w:rPr>
          <w:rFonts w:hint="eastAsia" w:ascii="宋体" w:hAnsi="宋体" w:eastAsia="宋体"/>
          <w:sz w:val="24"/>
          <w:szCs w:val="24"/>
        </w:rPr>
        <w:t>公益诉讼办案规则》第六十九条规定，对于同一侵害国家利益或者社会公共利益的损害后果，数个负有不同监督管理职责的行政机关均可能存在不依法履行职责情形的，人民检察院可以对数个行政机关分别立案。但是，只确定一个主体（主责部门或牵头单位）可以减少矛盾，特别是有利于推动工作，提高办案效率，提高监督程度。以窨井盖为例，涉及城建部门、镇街人民政府、井盖产权单位等多家单位。在顺德区人民检察院办理监督某学校周边路面窨井盖案件中，最大难题便为无法确定履职主体。对于道路井盖维护原则为“谁所有、谁负责”。但囿于窨井盖问题出现职能交叉情形，为使问题尽快解决，未成年人校园周边安全得到保障，顺德区检察院的做法是根据《佛山市城市市容和环境卫生管理规定》第三条第三款“镇人民政府（街道办事处）负责本区域内的城市市容和环境卫生管理工作，并协助相关主管部门对本区域内的城市市容和环境卫生工作进行协调、监督和检查”的规定，确定镇街政府为主体，后镇街政府主持全镇窨井盖专项治理工作会议，统一协调各部门及供水供电公司完成整改。另外，可以按照“专管优先”的原则</w:t>
      </w:r>
      <w:r>
        <w:rPr>
          <w:rStyle w:val="10"/>
          <w:rFonts w:hint="eastAsia" w:ascii="宋体" w:hAnsi="宋体" w:eastAsia="宋体"/>
          <w:sz w:val="24"/>
          <w:szCs w:val="24"/>
        </w:rPr>
        <w:footnoteReference w:id="13"/>
      </w:r>
      <w:r>
        <w:rPr>
          <w:rFonts w:hint="eastAsia" w:ascii="宋体" w:hAnsi="宋体" w:eastAsia="宋体"/>
          <w:sz w:val="24"/>
          <w:szCs w:val="24"/>
        </w:rPr>
        <w:t>确立主体。例如，在校园周边售卖烟草的公益诉讼案件中，市场监督管理局和烟草专卖局均有权监管管理。根据《烟草专卖法实施条例》第五十七条</w:t>
      </w:r>
      <w:r>
        <w:rPr>
          <w:rStyle w:val="10"/>
          <w:rFonts w:ascii="宋体" w:hAnsi="宋体" w:eastAsia="宋体"/>
          <w:sz w:val="24"/>
          <w:szCs w:val="24"/>
        </w:rPr>
        <w:footnoteReference w:id="14"/>
      </w:r>
      <w:r>
        <w:rPr>
          <w:rFonts w:hint="eastAsia" w:ascii="宋体" w:hAnsi="宋体" w:eastAsia="宋体"/>
          <w:sz w:val="24"/>
          <w:szCs w:val="24"/>
        </w:rPr>
        <w:t>规定，市场监督管理局和烟草专卖局对学校周边无证零售香烟的行为都有监管职责，但是根据《</w:t>
      </w:r>
      <w:r>
        <w:rPr>
          <w:rFonts w:hint="eastAsia" w:hAnsi="宋体" w:cs="Times New Roman"/>
          <w:sz w:val="24"/>
          <w:szCs w:val="24"/>
          <w:lang w:eastAsia="zh-CN"/>
        </w:rPr>
        <w:t>中华人民共和国</w:t>
      </w:r>
      <w:r>
        <w:rPr>
          <w:rFonts w:hint="eastAsia" w:ascii="宋体" w:hAnsi="宋体" w:eastAsia="宋体"/>
          <w:sz w:val="24"/>
          <w:szCs w:val="24"/>
        </w:rPr>
        <w:t>烟草专卖法》的规定，烟草专卖行政主管部门主管本辖区的烟草专卖工作，并审查批准发烟草专卖零售许可证。对此，烟草专卖局是专管机关，确定烟草专卖局为主体更为合适，更有利于工作的推进。</w:t>
      </w:r>
    </w:p>
    <w:p>
      <w:pPr>
        <w:pStyle w:val="4"/>
        <w:pageBreakBefore w:val="0"/>
        <w:widowControl w:val="0"/>
        <w:kinsoku/>
        <w:wordWrap/>
        <w:overflowPunct/>
        <w:topLinePunct w:val="0"/>
        <w:autoSpaceDE/>
        <w:autoSpaceDN/>
        <w:bidi w:val="0"/>
        <w:adjustRightInd w:val="0"/>
        <w:snapToGrid w:val="0"/>
        <w:spacing w:before="0" w:after="0" w:line="360" w:lineRule="auto"/>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（三）提升调查取证能力</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sz w:val="24"/>
          <w:szCs w:val="24"/>
        </w:rPr>
      </w:pPr>
      <w:r>
        <w:rPr>
          <w:rFonts w:hint="eastAsia" w:ascii="宋体" w:hAnsi="宋体" w:eastAsia="宋体"/>
          <w:sz w:val="24"/>
          <w:szCs w:val="24"/>
        </w:rPr>
        <w:t>案件质量在一定程度上取决于调研取证的质量。目前，涉未公益诉讼工作中存在人员配备不足、</w:t>
      </w:r>
      <w:r>
        <w:rPr>
          <w:rFonts w:hint="eastAsia" w:ascii="宋体" w:hAnsi="宋体" w:eastAsia="宋体"/>
          <w:sz w:val="24"/>
          <w:szCs w:val="24"/>
          <w:lang w:eastAsia="zh-CN"/>
        </w:rPr>
        <w:t>调查取证能力不足、</w:t>
      </w:r>
      <w:r>
        <w:rPr>
          <w:rFonts w:hint="eastAsia" w:ascii="宋体" w:hAnsi="宋体" w:eastAsia="宋体"/>
          <w:sz w:val="24"/>
          <w:szCs w:val="24"/>
        </w:rPr>
        <w:t>调查核实无强制性保障等问题。对此，检察机关在开展涉未行政公益诉讼调查取证工作中要做到：一是注重方式方法。顺德区院在办理相关案件中也逐渐探索出“检察官+法警”、“检察+公安”的取证模式，如检察官明察或暗访时，组织本院司法警察参加取证，特别是在对场所复杂如歌舞娱乐场所的调查核实；充分利用刑事案件发掘案件线索，同时刑事案件的证据加以运用，必要时商请公安机关协助。同时，应当明确检察机关提起公益诉讼所关注的是社会公共利益，但也不能忽视个体的特殊利益诉求，因此，除特殊情况外，在开展调查取证时应当维护涉案单位正常的工作生产秩序，最大限度地减少对调查取证给涉案单位带来负面影响，也最大限度地减少被调查对象的抗拒和不配合。二是加强人员配备，及时补充人员。公益诉讼属于近年检察机关的新增业务，而未成年人检察公益诉讼更是新业务中的新板块，要把该项业务做全面，存在一定的工作难度和强度，因此，有必要在人员配备上予以加强。三是加强专业培训。如前文所述，未成年人检察公益诉讼工作尚未形成成熟的工作机制，因此，更加需要加强对公益诉讼业务和未成年人检察业务的培训学习。在开展公益诉以过程中，要注重加强对涉未公益诉讼领域专业知识的学习，通过研究相关指导性案件、典型案例，邀请专门执法人员、专家学者授课、实地</w:t>
      </w:r>
      <w:r>
        <w:rPr>
          <w:rFonts w:hint="eastAsia" w:ascii="宋体" w:hAnsi="宋体" w:eastAsia="宋体"/>
          <w:color w:val="auto"/>
          <w:sz w:val="24"/>
          <w:szCs w:val="24"/>
        </w:rPr>
        <w:t>调研</w:t>
      </w:r>
      <w:r>
        <w:rPr>
          <w:rFonts w:hint="eastAsia" w:ascii="宋体" w:hAnsi="宋体" w:eastAsia="宋体"/>
          <w:color w:val="auto"/>
          <w:sz w:val="24"/>
          <w:szCs w:val="24"/>
          <w:lang w:val="en-US" w:eastAsia="zh-CN"/>
        </w:rPr>
        <w:t>等</w:t>
      </w:r>
      <w:r>
        <w:rPr>
          <w:rFonts w:hint="eastAsia" w:ascii="宋体" w:hAnsi="宋体" w:eastAsia="宋体"/>
          <w:color w:val="auto"/>
          <w:sz w:val="24"/>
          <w:szCs w:val="24"/>
        </w:rPr>
        <w:t>方</w:t>
      </w:r>
      <w:r>
        <w:rPr>
          <w:rFonts w:hint="eastAsia" w:ascii="宋体" w:hAnsi="宋体" w:eastAsia="宋体"/>
          <w:sz w:val="24"/>
          <w:szCs w:val="24"/>
        </w:rPr>
        <w:t>式，提升未检公益诉讼工作人员的知识储备。同时，从长远看，建议在立法上进行跟进完善，针对公益诉讼调查核实中遇到的阻碍，明确解除阻碍的保障措施。</w:t>
      </w:r>
    </w:p>
    <w:p>
      <w:pPr>
        <w:pStyle w:val="4"/>
        <w:pageBreakBefore w:val="0"/>
        <w:widowControl w:val="0"/>
        <w:kinsoku/>
        <w:wordWrap/>
        <w:overflowPunct/>
        <w:topLinePunct w:val="0"/>
        <w:autoSpaceDE/>
        <w:autoSpaceDN/>
        <w:bidi w:val="0"/>
        <w:adjustRightInd w:val="0"/>
        <w:snapToGrid w:val="0"/>
        <w:spacing w:before="0" w:after="0" w:line="360" w:lineRule="auto"/>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w:t>
      </w:r>
      <w:r>
        <w:rPr>
          <w:rFonts w:hint="eastAsia" w:ascii="黑体" w:hAnsi="黑体" w:eastAsia="黑体" w:cs="黑体"/>
          <w:b w:val="0"/>
          <w:bCs w:val="0"/>
          <w:sz w:val="28"/>
          <w:szCs w:val="28"/>
          <w:lang w:val="en-US" w:eastAsia="zh-CN"/>
        </w:rPr>
        <w:t>四</w:t>
      </w:r>
      <w:r>
        <w:rPr>
          <w:rFonts w:hint="eastAsia" w:ascii="黑体" w:hAnsi="黑体" w:eastAsia="黑体" w:cs="黑体"/>
          <w:b w:val="0"/>
          <w:bCs w:val="0"/>
          <w:sz w:val="28"/>
          <w:szCs w:val="28"/>
          <w:lang w:eastAsia="zh-CN"/>
        </w:rPr>
        <w:t>）</w:t>
      </w:r>
      <w:r>
        <w:rPr>
          <w:rFonts w:hint="eastAsia" w:ascii="黑体" w:hAnsi="黑体" w:eastAsia="黑体" w:cs="黑体"/>
          <w:b w:val="0"/>
          <w:bCs w:val="0"/>
          <w:sz w:val="28"/>
          <w:szCs w:val="28"/>
        </w:rPr>
        <w:t>拓宽线索来源</w:t>
      </w:r>
    </w:p>
    <w:p>
      <w:pPr>
        <w:pStyle w:val="2"/>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黑体" w:hAnsi="黑体" w:eastAsia="黑体"/>
          <w:sz w:val="44"/>
          <w:szCs w:val="44"/>
        </w:rPr>
      </w:pPr>
      <w:r>
        <w:rPr>
          <w:rFonts w:hint="eastAsia" w:hAnsi="宋体" w:cs="Times New Roman"/>
          <w:sz w:val="24"/>
          <w:szCs w:val="24"/>
        </w:rPr>
        <w:t>2021年7月，最高检公布的《人民检察院公益诉讼办案规则》第二十四条对公益诉案件线索来源进行规定，其中包括了控告举报、办案中发现、行政执法信息共享平台上发现、机关团体及人大代表政协委员等转交、新闻媒体社会舆论等反映以及其他履职中发现。对此，要多向发力，进一步拓宽未检行政公益诉讼线索来源。一是进一步整合院内资源。未成年人检察部门要加强内部线索移送，对于未检部门内部办理的涉未刑事案件，发现未成年人行政公益诉讼线索后要即时做好线索移送。同时要加强与其他业务部门的配合和协作，刑事检察部等部门在办理案件中发现的未检公益诉讼线索，如涉校园公共安全、校车安全、未成年人食品、药品等，应当第一时间将移送未检部门公益诉讼组。同时，控告申诉部门在接待群众来访、来信或者举报电话中，如发现有侵害未成年人公共利益的行为，应当及时反馈给未检部门公益诉讼组。二是建立外部沟通协作机制。借助党委、政府、人大政协、相关机关、社会团体和群众的力量，广泛收集涉未成年人公益诉讼线索。与公安机关、市场监督部门、教育部门、文体广电部门、人社部门、网信部门等行政执法部门,建立日常联络机制、信息共享机制、联席会议制度等,形成常态长效合作关系。延伸触角，基层检察机关可在学校以及村、社区等基层自治组织设置联络员，形成突出重点、覆盖全面的线索收集队伍。三是加大宣传力度。积极开展检察服务和检察宣传活动，向社会公众公布公益诉讼受案范围，增进群众的了解和认识，方便群众及时举报；拓展线上举报平台，鼓励和引导公众积极参与，如顺德区院在公众号开通公益诉讼随手拍，动员群众对损害社会公共利益的行为进行举报。充分利用微信、客户端等自媒体，以群众喜闻乐见的形式，如短视频、案例通报等深入宣传该院公益诉讼职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Calibri Light">
    <w:altName w:val="Calibri"/>
    <w:panose1 w:val="020F0302020204030204"/>
    <w:charset w:val="00"/>
    <w:family w:val="auto"/>
    <w:pitch w:val="default"/>
    <w:sig w:usb0="00000000" w:usb1="00000000"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30">
    <w:p>
      <w:r>
        <w:separator/>
      </w:r>
    </w:p>
  </w:footnote>
  <w:footnote w:type="continuationSeparator" w:id="31">
    <w:p>
      <w:r>
        <w:continuationSeparator/>
      </w:r>
    </w:p>
  </w:footnote>
  <w:footnote w:id="0">
    <w:p>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黑体" w:hAnsi="黑体" w:eastAsia="黑体" w:cs="黑体"/>
          <w:b/>
          <w:sz w:val="28"/>
          <w:szCs w:val="28"/>
        </w:rPr>
      </w:pPr>
      <w:r>
        <w:rPr>
          <w:rStyle w:val="10"/>
        </w:rPr>
        <w:footnoteRef/>
      </w:r>
      <w:r>
        <w:t xml:space="preserve"> </w:t>
      </w:r>
      <w:r>
        <w:rPr>
          <w:rFonts w:hint="eastAsia"/>
          <w:lang w:eastAsia="zh-CN"/>
        </w:rPr>
        <w:t>课题组成员</w:t>
      </w:r>
      <w:r>
        <w:rPr>
          <w:rFonts w:hint="eastAsia" w:ascii="Calibri" w:hAnsi="Calibri" w:eastAsia="宋体" w:cs="Times New Roman"/>
          <w:kern w:val="2"/>
          <w:sz w:val="18"/>
          <w:szCs w:val="24"/>
          <w:lang w:val="en-US" w:eastAsia="zh-CN" w:bidi="ar-SA"/>
        </w:rPr>
        <w:t>：肖秀敏、刘海燕、陈玉苹、张镭</w:t>
      </w:r>
    </w:p>
    <w:p>
      <w:pPr>
        <w:pStyle w:val="5"/>
        <w:snapToGrid w:val="0"/>
      </w:pPr>
    </w:p>
  </w:footnote>
  <w:footnote w:id="1">
    <w:p>
      <w:pPr>
        <w:pStyle w:val="5"/>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Times New Roman"/>
          <w:kern w:val="2"/>
          <w:sz w:val="18"/>
          <w:szCs w:val="18"/>
          <w:lang w:val="en-US" w:eastAsia="zh-CN" w:bidi="ar-SA"/>
        </w:rPr>
      </w:pPr>
      <w:r>
        <w:rPr>
          <w:rStyle w:val="10"/>
        </w:rPr>
        <w:footnoteRef/>
      </w:r>
      <w:r>
        <w:t xml:space="preserve"> </w:t>
      </w:r>
      <w:r>
        <w:rPr>
          <w:rFonts w:hint="eastAsia" w:ascii="宋体" w:hAnsi="宋体" w:eastAsia="宋体"/>
        </w:rPr>
        <w:t>王广聪：《以公益诉讼促进实</w:t>
      </w:r>
      <w:r>
        <w:rPr>
          <w:rFonts w:hint="eastAsia" w:ascii="宋体" w:hAnsi="宋体" w:eastAsia="宋体" w:cs="Times New Roman"/>
          <w:kern w:val="2"/>
          <w:sz w:val="18"/>
          <w:szCs w:val="18"/>
          <w:lang w:val="en-US" w:eastAsia="zh-CN" w:bidi="ar-SA"/>
        </w:rPr>
        <w:t>现未成年保护国家责任》，载《检察日报》2020-11-16（03）。</w:t>
      </w:r>
    </w:p>
  </w:footnote>
  <w:footnote w:id="2">
    <w:p>
      <w:pPr>
        <w:pStyle w:val="6"/>
        <w:keepNext w:val="0"/>
        <w:keepLines w:val="0"/>
        <w:pageBreakBefore w:val="0"/>
        <w:widowControl/>
        <w:suppressLineNumbers w:val="0"/>
        <w:kinsoku/>
        <w:wordWrap/>
        <w:overflowPunct/>
        <w:topLinePunct w:val="0"/>
        <w:autoSpaceDE/>
        <w:autoSpaceDN/>
        <w:bidi w:val="0"/>
        <w:adjustRightInd w:val="0"/>
        <w:snapToGrid w:val="0"/>
        <w:spacing w:after="0" w:line="240" w:lineRule="auto"/>
        <w:ind w:right="0"/>
        <w:textAlignment w:val="auto"/>
        <w:rPr>
          <w:rFonts w:hint="eastAsia" w:ascii="宋体" w:hAnsi="宋体" w:eastAsia="宋体" w:cs="Times New Roman"/>
          <w:kern w:val="2"/>
          <w:sz w:val="18"/>
          <w:szCs w:val="18"/>
          <w:lang w:val="en-US" w:eastAsia="zh-CN" w:bidi="ar-SA"/>
        </w:rPr>
      </w:pPr>
      <w:r>
        <w:rPr>
          <w:rStyle w:val="10"/>
          <w:rFonts w:hint="eastAsia" w:ascii="Calibri" w:hAnsi="Calibri" w:eastAsia="宋体" w:cs="Times New Roman"/>
          <w:kern w:val="2"/>
          <w:sz w:val="18"/>
          <w:szCs w:val="18"/>
          <w:lang w:val="en-US" w:eastAsia="zh-CN" w:bidi="ar-SA"/>
        </w:rPr>
        <w:footnoteRef/>
      </w:r>
      <w:r>
        <w:rPr>
          <w:rFonts w:hint="eastAsia" w:ascii="宋体" w:hAnsi="宋体" w:eastAsia="宋体" w:cs="Times New Roman"/>
          <w:kern w:val="2"/>
          <w:sz w:val="18"/>
          <w:szCs w:val="18"/>
          <w:lang w:val="en-US" w:eastAsia="zh-CN" w:bidi="ar-SA"/>
        </w:rPr>
        <w:t xml:space="preserve"> 佛山市顺德区人民检察院于2020年起实行未成年人检察业务统一集中办理，未成年人行政公益诉讼案件从此前民事行政部门转由未检部门专业办案组跟进负责，探索领域、办案深度上进一步拓宽。</w:t>
      </w:r>
    </w:p>
  </w:footnote>
  <w:footnote w:id="3">
    <w:p>
      <w:pPr>
        <w:pStyle w:val="5"/>
        <w:rPr>
          <w:rFonts w:ascii="宋体" w:hAnsi="宋体" w:eastAsia="宋体"/>
        </w:rPr>
      </w:pPr>
      <w:r>
        <w:rPr>
          <w:rStyle w:val="10"/>
        </w:rPr>
        <w:footnoteRef/>
      </w:r>
      <w:r>
        <w:t xml:space="preserve"> </w:t>
      </w:r>
      <w:r>
        <w:rPr>
          <w:rFonts w:hint="eastAsia" w:ascii="宋体" w:hAnsi="宋体" w:eastAsia="宋体"/>
        </w:rPr>
        <w:t>《最高检：将打造未成年人公益诉讼“升级版”》，中国新闻网http://www.chinanews.com/gn/2019/12-20/9039084.shtml。</w:t>
      </w:r>
    </w:p>
  </w:footnote>
  <w:footnote w:id="4">
    <w:p>
      <w:pPr>
        <w:pStyle w:val="5"/>
        <w:snapToGrid w:val="0"/>
      </w:pPr>
      <w:r>
        <w:rPr>
          <w:rStyle w:val="10"/>
        </w:rPr>
        <w:footnoteRef/>
      </w:r>
      <w:r>
        <w:rPr>
          <w:rFonts w:hint="eastAsia" w:ascii="宋体" w:hAnsi="宋体" w:eastAsia="宋体"/>
          <w:lang w:eastAsia="zh-CN"/>
        </w:rPr>
        <w:t>　</w:t>
      </w:r>
      <w:r>
        <w:rPr>
          <w:rFonts w:hint="eastAsia" w:ascii="宋体" w:hAnsi="宋体" w:eastAsia="宋体"/>
          <w:lang w:val="en-US" w:eastAsia="zh-CN"/>
        </w:rPr>
        <w:t>目前，顺德辖区范围内时租日租房、公寓登记入住人员使用“凤凰管家”系统平台。2021年7月起，顺德区公安局对系统进行了升级完善，在住宿登记系统增加年龄判断功能,对于未成年人入住住宿场所的未成年人进行信息登记时，系统自动弹出监护人信息录入框,必须完整填录监护人信息后才能登记入住。</w:t>
      </w:r>
    </w:p>
  </w:footnote>
  <w:footnote w:id="5">
    <w:p>
      <w:pPr>
        <w:pStyle w:val="5"/>
      </w:pPr>
      <w:r>
        <w:rPr>
          <w:rStyle w:val="10"/>
        </w:rPr>
        <w:footnoteRef/>
      </w:r>
      <w:r>
        <w:t xml:space="preserve"> </w:t>
      </w:r>
      <w:r>
        <w:rPr>
          <w:rFonts w:hint="eastAsia" w:ascii="宋体" w:hAnsi="宋体" w:eastAsia="宋体"/>
        </w:rPr>
        <w:t>《中华人民共和国未成年人保护法》修订出台后，大量涉及未成年人公共利益的规定得以明确规定，涉未成年人权益保护均为等内领域。</w:t>
      </w:r>
    </w:p>
  </w:footnote>
  <w:footnote w:id="6">
    <w:p>
      <w:pPr>
        <w:pStyle w:val="5"/>
      </w:pPr>
      <w:r>
        <w:rPr>
          <w:rStyle w:val="10"/>
        </w:rPr>
        <w:footnoteRef/>
      </w:r>
      <w:r>
        <w:t xml:space="preserve"> </w:t>
      </w:r>
      <w:r>
        <w:rPr>
          <w:rFonts w:hint="eastAsia" w:ascii="宋体" w:hAnsi="宋体" w:eastAsia="宋体"/>
        </w:rPr>
        <w:t>该案当时立行政</w:t>
      </w:r>
      <w:r>
        <w:rPr>
          <w:rFonts w:hint="eastAsia" w:ascii="宋体" w:hAnsi="宋体" w:eastAsia="宋体"/>
          <w:lang w:val="en-US" w:eastAsia="zh-CN"/>
        </w:rPr>
        <w:t>违</w:t>
      </w:r>
      <w:r>
        <w:rPr>
          <w:rFonts w:hint="eastAsia" w:ascii="宋体" w:hAnsi="宋体" w:eastAsia="宋体"/>
        </w:rPr>
        <w:t>法监督案件。</w:t>
      </w:r>
    </w:p>
  </w:footnote>
  <w:footnote w:id="7">
    <w:p>
      <w:pPr>
        <w:pStyle w:val="5"/>
      </w:pPr>
      <w:r>
        <w:rPr>
          <w:rStyle w:val="10"/>
        </w:rPr>
        <w:footnoteRef/>
      </w:r>
      <w:r>
        <w:rPr>
          <w:rFonts w:ascii="宋体" w:hAnsi="宋体" w:eastAsia="宋体"/>
        </w:rPr>
        <w:t xml:space="preserve"> </w:t>
      </w:r>
      <w:r>
        <w:rPr>
          <w:rFonts w:hint="eastAsia" w:ascii="宋体" w:hAnsi="宋体" w:eastAsia="宋体"/>
        </w:rPr>
        <w:t>《中华人民共和国未成年人保护法》第一百零六条：“未成年人合法权益受到侵犯，相关组织和个人未代为提起诉讼的，人民检察院可以督促、支持其提起诉讼；涉及公共利益的，人民检察院有权提起公益诉讼。”</w:t>
      </w:r>
      <w:r>
        <w:rPr>
          <w:rFonts w:hint="eastAsia"/>
        </w:rPr>
        <w:t xml:space="preserve"> </w:t>
      </w:r>
    </w:p>
  </w:footnote>
  <w:footnote w:id="8">
    <w:p>
      <w:pPr>
        <w:pStyle w:val="5"/>
        <w:rPr>
          <w:rFonts w:eastAsia="宋体"/>
        </w:rPr>
      </w:pPr>
      <w:r>
        <w:rPr>
          <w:rStyle w:val="10"/>
        </w:rPr>
        <w:footnoteRef/>
      </w:r>
      <w:r>
        <w:t xml:space="preserve"> </w:t>
      </w:r>
      <w:r>
        <w:rPr>
          <w:rFonts w:hint="eastAsia" w:ascii="宋体" w:hAnsi="宋体" w:eastAsia="宋体"/>
        </w:rPr>
        <w:t>张宁宇、田东平：《未成年人检察公益诉讼的特点和案件范围》，载《中国检察官》2020年6月下（经典案例）总第342期，第9页至第13页。</w:t>
      </w:r>
    </w:p>
  </w:footnote>
  <w:footnote w:id="9">
    <w:p>
      <w:pPr>
        <w:pStyle w:val="5"/>
      </w:pPr>
      <w:r>
        <w:rPr>
          <w:rStyle w:val="10"/>
        </w:rPr>
        <w:footnoteRef/>
      </w:r>
      <w:r>
        <w:t xml:space="preserve"> </w:t>
      </w:r>
      <w:r>
        <w:rPr>
          <w:rFonts w:hint="eastAsia" w:ascii="宋体" w:hAnsi="宋体" w:eastAsia="宋体"/>
        </w:rPr>
        <w:t>《检察机关行政公益诉讼案件办案指南（试行）》规定，检察机关的调查可以采取以下方式：查阅、摘抄、复制有关行政执法卷宗材料；询问行政机关相关人员以及行政相对人、利害关系人、证人等；收集书证、物证、视听资料、电子证据等；咨询专业人员、相关部门或者行业协会对专门问题的意见；委托鉴定、评估、审计；勘验、检查物证、现场。</w:t>
      </w:r>
    </w:p>
  </w:footnote>
  <w:footnote w:id="10">
    <w:p>
      <w:pPr>
        <w:pStyle w:val="5"/>
      </w:pPr>
      <w:r>
        <w:rPr>
          <w:rStyle w:val="10"/>
        </w:rPr>
        <w:footnoteRef/>
      </w:r>
      <w:r>
        <w:t xml:space="preserve"> </w:t>
      </w:r>
      <w:r>
        <w:rPr>
          <w:rFonts w:hint="eastAsia" w:ascii="宋体" w:hAnsi="宋体" w:eastAsia="宋体"/>
        </w:rPr>
        <w:t>《人民检察院公益诉讼办案规则》第三十五条第二款规定：“人民检察院开展调查和收集证据不得采取限制人身自由或者查封、扣押、冻结财产等强制行措施。” 《人民检察院公益诉讼办案规则》 第四十五条规定：“行政机关及其工作人员拒绝或者妨碍人民检察院调查收集证据的，人民检察院可以向同级人大常委会报告，向同级纪检监察机关通报，或者通过上级人民检察院向其上级主管机关通报。”</w:t>
      </w:r>
    </w:p>
  </w:footnote>
  <w:footnote w:id="11">
    <w:p>
      <w:pPr>
        <w:pStyle w:val="5"/>
      </w:pPr>
      <w:r>
        <w:rPr>
          <w:rStyle w:val="10"/>
        </w:rPr>
        <w:footnoteRef/>
      </w:r>
      <w:r>
        <w:t xml:space="preserve"> </w:t>
      </w:r>
      <w:r>
        <w:rPr>
          <w:rFonts w:hint="eastAsia" w:ascii="宋体" w:hAnsi="宋体" w:eastAsia="宋体"/>
        </w:rPr>
        <w:t>《人民检察院公益诉讼办案规则》 第四十五条规定：“行政机关及其工作人员拒绝或者妨碍人民检察院调查收集证据的，人民检察院可以向同级人大常委会报告，向同级纪检监察机关通报，或者通过上级人民检察院向其上级主管机关通报。”</w:t>
      </w:r>
      <w:r>
        <w:rPr>
          <w:rFonts w:hint="eastAsia"/>
        </w:rPr>
        <w:t xml:space="preserve"> </w:t>
      </w:r>
    </w:p>
  </w:footnote>
  <w:footnote w:id="12">
    <w:p>
      <w:pPr>
        <w:pStyle w:val="5"/>
      </w:pPr>
      <w:r>
        <w:rPr>
          <w:rStyle w:val="10"/>
        </w:rPr>
        <w:footnoteRef/>
      </w:r>
      <w:r>
        <w:t xml:space="preserve"> </w:t>
      </w:r>
      <w:r>
        <w:rPr>
          <w:rFonts w:hint="eastAsia" w:ascii="宋体" w:hAnsi="宋体" w:eastAsia="宋体"/>
        </w:rPr>
        <w:t>根据《检察机关行政公益诉讼案件办案指南（试行）》，“履行职责”包括履行批准或决定逮捕、审查起诉、控告检察、诉讼监督、公益监督等职责。</w:t>
      </w:r>
    </w:p>
  </w:footnote>
  <w:footnote w:id="13">
    <w:p>
      <w:pPr>
        <w:pStyle w:val="5"/>
        <w:rPr>
          <w:rFonts w:eastAsia="宋体"/>
        </w:rPr>
      </w:pPr>
      <w:r>
        <w:rPr>
          <w:rStyle w:val="10"/>
        </w:rPr>
        <w:footnoteRef/>
      </w:r>
      <w:r>
        <w:t xml:space="preserve"> </w:t>
      </w:r>
      <w:r>
        <w:rPr>
          <w:rFonts w:hint="eastAsia" w:ascii="宋体" w:hAnsi="宋体" w:eastAsia="宋体"/>
        </w:rPr>
        <w:t>陈萍：《未成年人行政公益诉讼初探》，载《中国检察官》2020年6月下（经典案例）总第342期，第14页至第18页。</w:t>
      </w:r>
    </w:p>
  </w:footnote>
  <w:footnote w:id="14">
    <w:p>
      <w:pPr>
        <w:pStyle w:val="5"/>
      </w:pPr>
      <w:r>
        <w:rPr>
          <w:rStyle w:val="10"/>
        </w:rPr>
        <w:footnoteRef/>
      </w:r>
      <w:r>
        <w:rPr>
          <w:rFonts w:ascii="宋体" w:hAnsi="宋体" w:eastAsia="宋体"/>
        </w:rPr>
        <w:t xml:space="preserve"> </w:t>
      </w:r>
      <w:r>
        <w:rPr>
          <w:rFonts w:hint="eastAsia" w:ascii="宋体" w:hAnsi="宋体" w:eastAsia="宋体"/>
        </w:rPr>
        <w:t>《烟草专卖法实施条例》第五十七条：“无烟草专卖零售许可证经营烟草制品零售业务的，由工商行政管理部门或者由工商行政管理部门根据烟草专卖行政主管部门的意见，责令停止经营烟草制品零售业务，没收违法所得，处以违法经营总额20%以上50%以下的罚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ABA7F9"/>
    <w:multiLevelType w:val="singleLevel"/>
    <w:tmpl w:val="E1ABA7F9"/>
    <w:lvl w:ilvl="0" w:tentative="0">
      <w:start w:val="1"/>
      <w:numFmt w:val="chineseCounting"/>
      <w:suff w:val="nothing"/>
      <w:lvlText w:val="%1、"/>
      <w:lvlJc w:val="left"/>
      <w:rPr>
        <w:rFonts w:hint="eastAsia"/>
      </w:rPr>
    </w:lvl>
  </w:abstractNum>
  <w:abstractNum w:abstractNumId="1">
    <w:nsid w:val="E35BCFBC"/>
    <w:multiLevelType w:val="singleLevel"/>
    <w:tmpl w:val="E35BCFBC"/>
    <w:lvl w:ilvl="0" w:tentative="0">
      <w:start w:val="1"/>
      <w:numFmt w:val="chineseCounting"/>
      <w:suff w:val="nothing"/>
      <w:lvlText w:val="第%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30"/>
    <w:footnote w:id="3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5NzY2OTExYWY1MTU5NDNlZGU4ODM4OGFjMDg4YzYifQ=="/>
  </w:docVars>
  <w:rsids>
    <w:rsidRoot w:val="29286CB2"/>
    <w:rsid w:val="1A18679E"/>
    <w:rsid w:val="1C816A9E"/>
    <w:rsid w:val="1DDA053D"/>
    <w:rsid w:val="25256196"/>
    <w:rsid w:val="29286CB2"/>
    <w:rsid w:val="294C40CE"/>
    <w:rsid w:val="29AA0E44"/>
    <w:rsid w:val="2C7C3656"/>
    <w:rsid w:val="3CC71A6D"/>
    <w:rsid w:val="554E611E"/>
    <w:rsid w:val="63581E3D"/>
    <w:rsid w:val="69C30DCF"/>
    <w:rsid w:val="6B7E1CAA"/>
    <w:rsid w:val="7FD30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0" w:after="0" w:afterAutospacing="0"/>
      <w:ind w:firstLine="0" w:firstLineChars="0"/>
      <w:jc w:val="center"/>
      <w:outlineLvl w:val="0"/>
    </w:pPr>
    <w:rPr>
      <w:rFonts w:hint="eastAsia" w:ascii="宋体" w:hAnsi="宋体" w:eastAsia="方正小标宋简体" w:cs="宋体"/>
      <w:b/>
      <w:bCs/>
      <w:kern w:val="44"/>
      <w:sz w:val="44"/>
      <w:szCs w:val="48"/>
      <w:lang w:eastAsia="zh-CN" w:bidi="ar"/>
    </w:rPr>
  </w:style>
  <w:style w:type="paragraph" w:styleId="4">
    <w:name w:val="heading 4"/>
    <w:basedOn w:val="1"/>
    <w:next w:val="1"/>
    <w:unhideWhenUsed/>
    <w:qFormat/>
    <w:uiPriority w:val="9"/>
    <w:pPr>
      <w:keepNext/>
      <w:keepLines/>
      <w:spacing w:before="280" w:after="290" w:line="376" w:lineRule="auto"/>
      <w:outlineLvl w:val="3"/>
    </w:pPr>
    <w:rPr>
      <w:rFonts w:ascii="Calibri Light" w:hAnsi="Calibri Light" w:eastAsia="宋体" w:cs="Times New Roman"/>
      <w:b/>
      <w:bCs/>
      <w:sz w:val="28"/>
      <w:szCs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pPr>
      <w:widowControl w:val="0"/>
      <w:jc w:val="both"/>
    </w:pPr>
    <w:rPr>
      <w:rFonts w:ascii="宋体" w:hAnsi="Courier New" w:eastAsia="宋体" w:cs="Courier New"/>
      <w:kern w:val="2"/>
      <w:sz w:val="21"/>
      <w:szCs w:val="21"/>
      <w:lang w:val="en-US" w:eastAsia="zh-CN" w:bidi="ar-SA"/>
    </w:rPr>
  </w:style>
  <w:style w:type="paragraph" w:styleId="5">
    <w:name w:val="footnote text"/>
    <w:basedOn w:val="1"/>
    <w:qFormat/>
    <w:uiPriority w:val="0"/>
    <w:pPr>
      <w:snapToGrid w:val="0"/>
      <w:jc w:val="left"/>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otnote reference"/>
    <w:basedOn w:val="9"/>
    <w:qFormat/>
    <w:uiPriority w:val="0"/>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2022-06-02T05:05:00Z</dcterms:created>
  <dc:creator>豺狼</dc:creator>
  <cp:lastModifiedBy>WPS_1476969854</cp:lastModifiedBy>
  <dcterms:modified xsi:type="dcterms:W3CDTF">2023-11-08T08:05:47Z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7AE678DDE35D48A2A9F17971C5A2C425_13</vt:lpwstr>
  </property>
</Properties>
</file>