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黑体" w:eastAsia="黑体" w:cs="Times New Roman"/>
          <w:b/>
          <w:bCs/>
          <w:kern w:val="0"/>
          <w:sz w:val="44"/>
          <w:szCs w:val="44"/>
        </w:rPr>
      </w:pPr>
      <w:r>
        <w:rPr>
          <w:rFonts w:hint="eastAsia" w:ascii="黑体" w:hAnsi="黑体" w:eastAsia="黑体" w:cs="黑体"/>
          <w:b/>
          <w:bCs/>
          <w:kern w:val="0"/>
          <w:sz w:val="44"/>
          <w:szCs w:val="44"/>
        </w:rPr>
        <w:t>论我国行政检察的困境与出路</w:t>
      </w:r>
    </w:p>
    <w:p>
      <w:pPr>
        <w:adjustRightInd w:val="0"/>
        <w:snapToGrid w:val="0"/>
        <w:spacing w:line="360" w:lineRule="auto"/>
        <w:jc w:val="both"/>
        <w:rPr>
          <w:rFonts w:ascii="仿宋_GB2312" w:hAnsi="楷体" w:eastAsia="仿宋_GB2312" w:cs="Times New Roman"/>
          <w:kern w:val="0"/>
          <w:sz w:val="32"/>
          <w:szCs w:val="32"/>
        </w:rPr>
      </w:pPr>
      <w:r>
        <w:rPr>
          <w:rFonts w:ascii="仿宋_GB2312" w:hAnsi="楷体" w:eastAsia="仿宋_GB2312" w:cs="仿宋_GB2312"/>
          <w:kern w:val="0"/>
          <w:sz w:val="32"/>
          <w:szCs w:val="32"/>
        </w:rPr>
        <w:t>——</w:t>
      </w:r>
      <w:r>
        <w:rPr>
          <w:rFonts w:hint="eastAsia" w:ascii="仿宋_GB2312" w:hAnsi="楷体" w:eastAsia="仿宋_GB2312" w:cs="仿宋_GB2312"/>
          <w:kern w:val="0"/>
          <w:sz w:val="32"/>
          <w:szCs w:val="32"/>
        </w:rPr>
        <w:t>以佛山市顺德区检察院创建行政检察品牌为视角</w:t>
      </w:r>
    </w:p>
    <w:p>
      <w:pPr>
        <w:adjustRightInd w:val="0"/>
        <w:snapToGrid w:val="0"/>
        <w:spacing w:line="360" w:lineRule="auto"/>
        <w:jc w:val="center"/>
        <w:rPr>
          <w:rFonts w:hint="eastAsia" w:ascii="仿宋_GB2312" w:hAnsi="楷体" w:eastAsia="仿宋_GB2312" w:cs="Times New Roman"/>
          <w:kern w:val="0"/>
          <w:sz w:val="32"/>
          <w:szCs w:val="32"/>
        </w:rPr>
      </w:pPr>
    </w:p>
    <w:p>
      <w:pPr>
        <w:adjustRightInd w:val="0"/>
        <w:snapToGrid w:val="0"/>
        <w:spacing w:line="360" w:lineRule="auto"/>
        <w:jc w:val="center"/>
        <w:rPr>
          <w:rFonts w:ascii="楷体_GB2312" w:hAnsi="黑体" w:eastAsia="楷体_GB2312" w:cs="Times New Roman"/>
          <w:sz w:val="30"/>
          <w:szCs w:val="30"/>
        </w:rPr>
      </w:pPr>
      <w:r>
        <w:rPr>
          <w:rFonts w:hint="eastAsia" w:ascii="楷体_GB2312" w:hAnsi="楷体" w:eastAsia="楷体_GB2312" w:cs="楷体_GB2312"/>
          <w:sz w:val="30"/>
          <w:szCs w:val="30"/>
        </w:rPr>
        <w:t>徐彪</w:t>
      </w:r>
      <w:r>
        <w:rPr>
          <w:rFonts w:ascii="楷体_GB2312" w:hAnsi="楷体" w:eastAsia="楷体_GB2312" w:cs="楷体_GB2312"/>
          <w:sz w:val="30"/>
          <w:szCs w:val="30"/>
        </w:rPr>
        <w:t xml:space="preserve">  </w:t>
      </w:r>
      <w:r>
        <w:rPr>
          <w:rFonts w:hint="eastAsia" w:ascii="楷体_GB2312" w:hAnsi="楷体" w:eastAsia="楷体_GB2312" w:cs="楷体_GB2312"/>
          <w:sz w:val="30"/>
          <w:szCs w:val="30"/>
        </w:rPr>
        <w:t>李荣楠</w:t>
      </w:r>
      <w:r>
        <w:rPr>
          <w:rFonts w:ascii="楷体_GB2312" w:hAnsi="楷体" w:eastAsia="楷体_GB2312" w:cs="楷体_GB2312"/>
          <w:sz w:val="30"/>
          <w:szCs w:val="30"/>
        </w:rPr>
        <w:t xml:space="preserve">  </w:t>
      </w:r>
      <w:r>
        <w:rPr>
          <w:rFonts w:hint="eastAsia" w:ascii="楷体_GB2312" w:hAnsi="楷体" w:eastAsia="楷体_GB2312" w:cs="楷体_GB2312"/>
          <w:sz w:val="30"/>
          <w:szCs w:val="30"/>
        </w:rPr>
        <w:t>黄玉湄</w:t>
      </w:r>
      <w:r>
        <w:rPr>
          <w:rStyle w:val="7"/>
          <w:rFonts w:hint="eastAsia" w:ascii="楷体_GB2312" w:hAnsi="楷体" w:eastAsia="楷体_GB2312" w:cs="楷体_GB2312"/>
          <w:sz w:val="30"/>
          <w:szCs w:val="30"/>
        </w:rPr>
        <w:footnoteReference w:id="0"/>
      </w:r>
    </w:p>
    <w:p>
      <w:pPr>
        <w:pStyle w:val="4"/>
        <w:widowControl/>
        <w:adjustRightInd w:val="0"/>
        <w:snapToGrid w:val="0"/>
        <w:spacing w:line="360" w:lineRule="auto"/>
        <w:ind w:firstLine="480" w:firstLineChars="200"/>
        <w:jc w:val="both"/>
        <w:rPr>
          <w:rFonts w:ascii="宋体" w:cs="宋体"/>
        </w:rPr>
      </w:pPr>
      <w:r>
        <w:rPr>
          <w:rFonts w:hint="eastAsia" w:ascii="宋体" w:hAnsi="宋体" w:cs="宋体"/>
        </w:rPr>
        <w:t>党的十九大把深化依法治国作为坚持和发展</w:t>
      </w:r>
      <w:r>
        <w:rPr>
          <w:rFonts w:hint="eastAsia" w:ascii="宋体" w:hAnsi="宋体" w:cs="宋体"/>
          <w:lang w:eastAsia="zh-CN"/>
        </w:rPr>
        <w:t>习近平新时代</w:t>
      </w:r>
      <w:r>
        <w:rPr>
          <w:rFonts w:hint="eastAsia" w:ascii="宋体" w:hAnsi="宋体" w:cs="宋体"/>
        </w:rPr>
        <w:t>中国特色社会主义思想的重要内容，检察机关作为推进依法治国的重要主体，在推动“加强宪法实施和推进依法行政、严格规范公正文明执法”的过程中</w:t>
      </w:r>
      <w:bookmarkStart w:id="0" w:name="_GoBack"/>
      <w:bookmarkEnd w:id="0"/>
      <w:r>
        <w:rPr>
          <w:rFonts w:hint="eastAsia" w:ascii="宋体" w:hAnsi="宋体" w:cs="宋体"/>
        </w:rPr>
        <w:t>扮演着重要的角色，各级检察机关均应深刻认识到新时代新形势下检察职能特别是行政检察职能的定位与发展，明确监督边界，强化监督力量。广东省佛山市顺德区人民检察院（以下简称“顺检”）立足于法律监督者的本位，按照上级一院一品牌创建工作的要求，结合佛山市五区行政诉讼案件由顺德法院集中管辖的实际，大力创建行政检察品牌，并研究通过了《佛山市顺德区人民检察院推进行政检察工作方案》，统筹全院各部门力量，共同开展行政检察工作。在开展品牌创建工作的一年多里，顺检取得一定成效的同时也遇到了检察工作监督范围不明、监督力度不足等难题，我们将以此为视角，分析行政检察现行体系中存在的问题，探索解决行政检察困境的新出路。</w:t>
      </w:r>
    </w:p>
    <w:p>
      <w:pPr>
        <w:pStyle w:val="4"/>
        <w:widowControl/>
        <w:adjustRightInd w:val="0"/>
        <w:snapToGrid w:val="0"/>
        <w:spacing w:line="360" w:lineRule="auto"/>
        <w:ind w:firstLine="600" w:firstLineChars="200"/>
        <w:jc w:val="both"/>
        <w:rPr>
          <w:rFonts w:ascii="黑体" w:hAnsi="黑体" w:eastAsia="黑体" w:cs="Times New Roman"/>
          <w:sz w:val="30"/>
          <w:szCs w:val="30"/>
        </w:rPr>
      </w:pPr>
      <w:r>
        <w:rPr>
          <w:rFonts w:hint="eastAsia" w:ascii="黑体" w:hAnsi="黑体" w:eastAsia="黑体" w:cs="黑体"/>
          <w:sz w:val="30"/>
          <w:szCs w:val="30"/>
        </w:rPr>
        <w:t>一、行政检察监督现状</w:t>
      </w:r>
    </w:p>
    <w:p>
      <w:pPr>
        <w:pStyle w:val="4"/>
        <w:widowControl/>
        <w:adjustRightInd w:val="0"/>
        <w:snapToGrid w:val="0"/>
        <w:spacing w:line="360" w:lineRule="auto"/>
        <w:ind w:firstLine="480" w:firstLineChars="200"/>
        <w:jc w:val="both"/>
        <w:rPr>
          <w:rFonts w:ascii="宋体" w:cs="宋体"/>
        </w:rPr>
      </w:pPr>
      <w:r>
        <w:rPr>
          <w:rFonts w:hint="eastAsia" w:ascii="宋体" w:hAnsi="宋体" w:cs="宋体"/>
        </w:rPr>
        <w:t>目前，理论与实务界均无对行政检察作出准确定义，也无明确规定行政检察工作的具体内容。各检察机关结合工作实际，依照法律规定对法院审理行政案件的行为与对行政机关的违法行为进行监督，行政违法监督的类别又可以细分为行政公益诉讼与一般领域行政违法监督</w:t>
      </w:r>
      <w:r>
        <w:rPr>
          <w:rStyle w:val="7"/>
        </w:rPr>
        <w:footnoteReference w:id="1"/>
      </w:r>
      <w:r>
        <w:rPr>
          <w:rFonts w:hint="eastAsia" w:ascii="宋体" w:hAnsi="宋体" w:cs="宋体"/>
        </w:rPr>
        <w:t>（以下简称“行政违法监督”）。</w:t>
      </w:r>
    </w:p>
    <w:p>
      <w:pPr>
        <w:pStyle w:val="4"/>
        <w:widowControl/>
        <w:adjustRightInd w:val="0"/>
        <w:snapToGrid w:val="0"/>
        <w:spacing w:line="360" w:lineRule="auto"/>
        <w:ind w:firstLine="560" w:firstLineChars="200"/>
        <w:jc w:val="both"/>
        <w:rPr>
          <w:rFonts w:ascii="黑体" w:hAnsi="黑体" w:eastAsia="黑体" w:cs="Times New Roman"/>
          <w:sz w:val="28"/>
          <w:szCs w:val="28"/>
        </w:rPr>
      </w:pPr>
      <w:r>
        <w:rPr>
          <w:rFonts w:hint="eastAsia" w:ascii="黑体" w:hAnsi="黑体" w:eastAsia="黑体" w:cs="黑体"/>
          <w:sz w:val="28"/>
          <w:szCs w:val="28"/>
        </w:rPr>
        <w:t>（一）行政诉讼监督现状</w:t>
      </w:r>
    </w:p>
    <w:p>
      <w:pPr>
        <w:pStyle w:val="4"/>
        <w:widowControl/>
        <w:adjustRightInd w:val="0"/>
        <w:snapToGrid w:val="0"/>
        <w:spacing w:line="360" w:lineRule="auto"/>
        <w:ind w:firstLine="480" w:firstLineChars="200"/>
        <w:jc w:val="both"/>
        <w:rPr>
          <w:rFonts w:ascii="宋体" w:cs="宋体"/>
        </w:rPr>
      </w:pPr>
      <w:r>
        <w:rPr>
          <w:rFonts w:hint="eastAsia" w:ascii="宋体" w:hAnsi="宋体" w:cs="宋体"/>
        </w:rPr>
        <w:t>我国</w:t>
      </w:r>
      <w:r>
        <w:rPr>
          <w:rFonts w:ascii="宋体" w:hAnsi="宋体" w:cs="宋体"/>
        </w:rPr>
        <w:t>1989</w:t>
      </w:r>
      <w:r>
        <w:rPr>
          <w:rFonts w:hint="eastAsia" w:ascii="宋体" w:hAnsi="宋体" w:cs="宋体"/>
        </w:rPr>
        <w:t>年</w:t>
      </w:r>
      <w:r>
        <w:rPr>
          <w:rFonts w:hint="eastAsia" w:ascii="宋体" w:hAnsi="宋体" w:cs="宋体"/>
          <w:lang w:eastAsia="zh-CN"/>
        </w:rPr>
        <w:t>《中华人民共和国行政诉讼法》</w:t>
      </w:r>
      <w:r>
        <w:rPr>
          <w:rFonts w:hint="eastAsia" w:ascii="宋体" w:hAnsi="宋体" w:cs="宋体"/>
        </w:rPr>
        <w:t>赋予检察机关行政案件监督权，</w:t>
      </w:r>
      <w:r>
        <w:rPr>
          <w:rFonts w:ascii="宋体" w:hAnsi="宋体" w:cs="宋体"/>
        </w:rPr>
        <w:t>2014</w:t>
      </w:r>
      <w:r>
        <w:rPr>
          <w:rFonts w:hint="eastAsia" w:ascii="宋体" w:hAnsi="宋体" w:cs="宋体"/>
        </w:rPr>
        <w:t>年修正后的</w:t>
      </w:r>
      <w:r>
        <w:rPr>
          <w:rFonts w:hint="eastAsia" w:ascii="宋体" w:hAnsi="宋体" w:cs="宋体"/>
          <w:lang w:eastAsia="zh-CN"/>
        </w:rPr>
        <w:t>《中华人民共和国行政诉讼法》</w:t>
      </w:r>
      <w:r>
        <w:rPr>
          <w:rStyle w:val="7"/>
        </w:rPr>
        <w:footnoteReference w:id="2"/>
      </w:r>
      <w:r>
        <w:rPr>
          <w:rFonts w:hint="eastAsia" w:ascii="宋体" w:hAnsi="宋体" w:cs="宋体"/>
        </w:rPr>
        <w:t>则明确了检察机关有权对行政诉讼案件的受理、审理、裁判进行监督。最高检于</w:t>
      </w:r>
      <w:r>
        <w:rPr>
          <w:rFonts w:ascii="宋体" w:hAnsi="宋体" w:cs="宋体"/>
        </w:rPr>
        <w:t>2016</w:t>
      </w:r>
      <w:r>
        <w:rPr>
          <w:rFonts w:hint="eastAsia" w:ascii="宋体" w:hAnsi="宋体" w:cs="宋体"/>
        </w:rPr>
        <w:t>年制定并发布了《人民检察院行政诉讼监督规则（试行）》（以下简称《规则》），拓宽了检察机关应当依照职权进行监督的诉讼案件类型，为检察机关依职权监督提供了监督依据。如</w:t>
      </w:r>
      <w:r>
        <w:rPr>
          <w:rFonts w:ascii="宋体" w:hAnsi="宋体" w:cs="宋体"/>
        </w:rPr>
        <w:t>2017</w:t>
      </w:r>
      <w:r>
        <w:rPr>
          <w:rFonts w:hint="eastAsia" w:ascii="宋体" w:hAnsi="宋体" w:cs="宋体"/>
        </w:rPr>
        <w:t>年，广东省全省检察机关受理行政申诉案件</w:t>
      </w:r>
      <w:r>
        <w:rPr>
          <w:rFonts w:ascii="宋体" w:hAnsi="宋体" w:cs="宋体"/>
        </w:rPr>
        <w:t>1877</w:t>
      </w:r>
      <w:r>
        <w:rPr>
          <w:rFonts w:hint="eastAsia" w:ascii="宋体" w:hAnsi="宋体" w:cs="宋体"/>
        </w:rPr>
        <w:t>件</w:t>
      </w:r>
      <w:r>
        <w:rPr>
          <w:rStyle w:val="7"/>
        </w:rPr>
        <w:footnoteReference w:id="3"/>
      </w:r>
      <w:r>
        <w:rPr>
          <w:rFonts w:hint="eastAsia" w:ascii="宋体" w:hAnsi="宋体" w:cs="宋体"/>
        </w:rPr>
        <w:t>，但广东省全省法院审结一审行政案件</w:t>
      </w:r>
      <w:r>
        <w:rPr>
          <w:rFonts w:ascii="宋体" w:hAnsi="宋体" w:cs="宋体"/>
        </w:rPr>
        <w:t>6.8</w:t>
      </w:r>
      <w:r>
        <w:rPr>
          <w:rFonts w:hint="eastAsia" w:ascii="宋体" w:hAnsi="宋体" w:cs="宋体"/>
        </w:rPr>
        <w:t>万件</w:t>
      </w:r>
      <w:r>
        <w:rPr>
          <w:rStyle w:val="7"/>
        </w:rPr>
        <w:footnoteReference w:id="4"/>
      </w:r>
      <w:r>
        <w:rPr>
          <w:rFonts w:hint="eastAsia" w:ascii="宋体" w:hAnsi="宋体" w:cs="宋体"/>
        </w:rPr>
        <w:t>。</w:t>
      </w:r>
      <w:r>
        <w:rPr>
          <w:rFonts w:ascii="宋体" w:hAnsi="宋体" w:cs="宋体"/>
        </w:rPr>
        <w:t>2017</w:t>
      </w:r>
      <w:r>
        <w:rPr>
          <w:rFonts w:hint="eastAsia" w:ascii="宋体" w:hAnsi="宋体" w:cs="宋体"/>
        </w:rPr>
        <w:t>年顺德区法院一共受理行政诉讼案件</w:t>
      </w:r>
      <w:r>
        <w:rPr>
          <w:rFonts w:ascii="宋体" w:hAnsi="宋体" w:cs="宋体"/>
        </w:rPr>
        <w:t>2017</w:t>
      </w:r>
      <w:r>
        <w:rPr>
          <w:rFonts w:hint="eastAsia" w:ascii="宋体" w:hAnsi="宋体" w:cs="宋体"/>
        </w:rPr>
        <w:t>件，非诉案件共收</w:t>
      </w:r>
      <w:r>
        <w:rPr>
          <w:rFonts w:ascii="宋体" w:hAnsi="宋体" w:cs="宋体"/>
        </w:rPr>
        <w:t>701</w:t>
      </w:r>
      <w:r>
        <w:rPr>
          <w:rFonts w:hint="eastAsia" w:ascii="宋体" w:hAnsi="宋体" w:cs="宋体"/>
        </w:rPr>
        <w:t>件，其中裁定不予执行的有</w:t>
      </w:r>
      <w:r>
        <w:rPr>
          <w:rFonts w:ascii="宋体" w:hAnsi="宋体" w:cs="宋体"/>
        </w:rPr>
        <w:t>189</w:t>
      </w:r>
      <w:r>
        <w:rPr>
          <w:rFonts w:hint="eastAsia" w:ascii="宋体" w:hAnsi="宋体" w:cs="宋体"/>
        </w:rPr>
        <w:t>件，向检察院申请监督的行政诉讼案件仅有</w:t>
      </w:r>
      <w:r>
        <w:rPr>
          <w:rFonts w:ascii="宋体" w:hAnsi="宋体" w:cs="宋体"/>
        </w:rPr>
        <w:t>127</w:t>
      </w:r>
      <w:r>
        <w:rPr>
          <w:rFonts w:hint="eastAsia" w:ascii="宋体" w:hAnsi="宋体" w:cs="宋体"/>
        </w:rPr>
        <w:t>件，尽管与去年同期的</w:t>
      </w:r>
      <w:r>
        <w:rPr>
          <w:rFonts w:ascii="宋体" w:hAnsi="宋体" w:cs="宋体"/>
        </w:rPr>
        <w:t>16</w:t>
      </w:r>
      <w:r>
        <w:rPr>
          <w:rFonts w:hint="eastAsia" w:ascii="宋体" w:hAnsi="宋体" w:cs="宋体"/>
        </w:rPr>
        <w:t>件相比，案件受理数量大幅上升，但仍与法院受理案件数量反差明显。</w:t>
      </w:r>
    </w:p>
    <w:p>
      <w:pPr>
        <w:pStyle w:val="4"/>
        <w:widowControl/>
        <w:adjustRightInd w:val="0"/>
        <w:snapToGrid w:val="0"/>
        <w:spacing w:line="360" w:lineRule="auto"/>
        <w:ind w:firstLine="560" w:firstLineChars="200"/>
        <w:jc w:val="both"/>
        <w:rPr>
          <w:rFonts w:ascii="黑体" w:hAnsi="黑体" w:eastAsia="黑体" w:cs="Times New Roman"/>
          <w:sz w:val="28"/>
          <w:szCs w:val="28"/>
        </w:rPr>
      </w:pPr>
      <w:r>
        <w:rPr>
          <w:rFonts w:hint="eastAsia" w:ascii="黑体" w:hAnsi="黑体" w:eastAsia="黑体" w:cs="黑体"/>
          <w:sz w:val="28"/>
          <w:szCs w:val="28"/>
        </w:rPr>
        <w:t>（二）行政公益诉讼现状</w:t>
      </w:r>
    </w:p>
    <w:p>
      <w:pPr>
        <w:pStyle w:val="4"/>
        <w:widowControl/>
        <w:adjustRightInd w:val="0"/>
        <w:snapToGrid w:val="0"/>
        <w:spacing w:line="360" w:lineRule="auto"/>
        <w:ind w:firstLine="480" w:firstLineChars="200"/>
        <w:jc w:val="both"/>
        <w:rPr>
          <w:rFonts w:ascii="宋体" w:cs="宋体"/>
        </w:rPr>
      </w:pPr>
      <w:r>
        <w:rPr>
          <w:rFonts w:hint="eastAsia" w:ascii="宋体" w:hAnsi="宋体" w:cs="宋体"/>
        </w:rPr>
        <w:t>党的十八届四中全会提出探索建立检察机关提起公益诉讼制度。</w:t>
      </w:r>
      <w:r>
        <w:rPr>
          <w:rFonts w:ascii="宋体" w:hAnsi="宋体" w:cs="宋体"/>
        </w:rPr>
        <w:t>2015</w:t>
      </w:r>
      <w:r>
        <w:rPr>
          <w:rFonts w:hint="eastAsia" w:ascii="宋体" w:hAnsi="宋体" w:cs="宋体"/>
        </w:rPr>
        <w:t>到</w:t>
      </w:r>
      <w:r>
        <w:rPr>
          <w:rFonts w:ascii="宋体" w:hAnsi="宋体" w:cs="宋体"/>
        </w:rPr>
        <w:t>2017</w:t>
      </w:r>
      <w:r>
        <w:rPr>
          <w:rFonts w:hint="eastAsia" w:ascii="宋体" w:hAnsi="宋体" w:cs="宋体"/>
        </w:rPr>
        <w:t>年公益诉讼试点工作的全面铺开，试点地区办理的大批案件积累了丰富的案件样本。</w:t>
      </w:r>
      <w:r>
        <w:rPr>
          <w:rFonts w:ascii="宋体" w:hAnsi="宋体" w:cs="宋体"/>
        </w:rPr>
        <w:t>2017</w:t>
      </w:r>
      <w:r>
        <w:rPr>
          <w:rFonts w:hint="eastAsia" w:ascii="宋体" w:hAnsi="宋体" w:cs="宋体"/>
        </w:rPr>
        <w:t>年</w:t>
      </w:r>
      <w:r>
        <w:rPr>
          <w:rFonts w:hint="eastAsia" w:ascii="宋体" w:hAnsi="宋体" w:cs="宋体"/>
          <w:lang w:eastAsia="zh-CN"/>
        </w:rPr>
        <w:t>《中华人民共和国行政诉讼法》</w:t>
      </w:r>
      <w:r>
        <w:rPr>
          <w:rStyle w:val="7"/>
        </w:rPr>
        <w:footnoteReference w:id="5"/>
      </w:r>
      <w:r>
        <w:rPr>
          <w:rFonts w:hint="eastAsia" w:ascii="宋体" w:hAnsi="宋体" w:cs="宋体"/>
        </w:rPr>
        <w:t>作出修改，公益诉讼制度正式建立。</w:t>
      </w:r>
      <w:r>
        <w:rPr>
          <w:rFonts w:ascii="宋体" w:hAnsi="宋体" w:cs="宋体"/>
        </w:rPr>
        <w:t>2018</w:t>
      </w:r>
      <w:r>
        <w:rPr>
          <w:rFonts w:hint="eastAsia" w:ascii="宋体" w:hAnsi="宋体" w:cs="宋体"/>
        </w:rPr>
        <w:t>年</w:t>
      </w:r>
      <w:r>
        <w:rPr>
          <w:rFonts w:ascii="宋体" w:hAnsi="宋体" w:cs="宋体"/>
        </w:rPr>
        <w:t>3</w:t>
      </w:r>
      <w:r>
        <w:rPr>
          <w:rFonts w:hint="eastAsia" w:ascii="宋体" w:hAnsi="宋体" w:cs="宋体"/>
        </w:rPr>
        <w:t>月</w:t>
      </w:r>
      <w:r>
        <w:rPr>
          <w:rFonts w:ascii="宋体" w:hAnsi="宋体" w:cs="宋体"/>
        </w:rPr>
        <w:t>2</w:t>
      </w:r>
      <w:r>
        <w:rPr>
          <w:rFonts w:hint="eastAsia" w:ascii="宋体" w:hAnsi="宋体" w:cs="宋体"/>
        </w:rPr>
        <w:t>日，两高关于公益诉讼的司法解释发布，确定了检察机关公益诉讼起诉人的地位。</w:t>
      </w:r>
      <w:r>
        <w:rPr>
          <w:rStyle w:val="7"/>
        </w:rPr>
        <w:footnoteReference w:id="6"/>
      </w:r>
      <w:r>
        <w:rPr>
          <w:rFonts w:hint="eastAsia" w:ascii="宋体" w:hAnsi="宋体" w:cs="宋体"/>
        </w:rPr>
        <w:t>在这短暂的几年时间里，行政公益诉讼的从无到有、从探索到完善、从政策层面到法律层面，制度的成效不断突显。如</w:t>
      </w:r>
      <w:r>
        <w:rPr>
          <w:rFonts w:ascii="宋体" w:hAnsi="宋体" w:cs="宋体"/>
        </w:rPr>
        <w:t>2017</w:t>
      </w:r>
      <w:r>
        <w:rPr>
          <w:rFonts w:hint="eastAsia" w:ascii="宋体" w:hAnsi="宋体" w:cs="宋体"/>
        </w:rPr>
        <w:t>年全省共办理行政诉前监督案件</w:t>
      </w:r>
      <w:r>
        <w:rPr>
          <w:rFonts w:ascii="宋体" w:hAnsi="宋体" w:cs="宋体"/>
        </w:rPr>
        <w:t>570</w:t>
      </w:r>
      <w:r>
        <w:rPr>
          <w:rFonts w:hint="eastAsia" w:ascii="宋体" w:hAnsi="宋体" w:cs="宋体"/>
        </w:rPr>
        <w:t>件，占全部诉前程序案件的</w:t>
      </w:r>
      <w:r>
        <w:rPr>
          <w:rFonts w:ascii="宋体" w:hAnsi="宋体" w:cs="宋体"/>
        </w:rPr>
        <w:t>98.5%</w:t>
      </w:r>
      <w:r>
        <w:rPr>
          <w:rFonts w:hint="eastAsia" w:ascii="宋体" w:hAnsi="宋体" w:cs="宋体"/>
        </w:rPr>
        <w:t>。相关行政机关及时纠正违法或履行职责</w:t>
      </w:r>
      <w:r>
        <w:rPr>
          <w:rFonts w:ascii="宋体" w:hAnsi="宋体" w:cs="宋体"/>
        </w:rPr>
        <w:t>322</w:t>
      </w:r>
      <w:r>
        <w:rPr>
          <w:rFonts w:hint="eastAsia" w:ascii="宋体" w:hAnsi="宋体" w:cs="宋体"/>
        </w:rPr>
        <w:t>件，行政机关逾期未纠正违法或履行职责</w:t>
      </w:r>
      <w:r>
        <w:rPr>
          <w:rFonts w:ascii="宋体" w:hAnsi="宋体" w:cs="宋体"/>
        </w:rPr>
        <w:t>32</w:t>
      </w:r>
      <w:r>
        <w:rPr>
          <w:rFonts w:hint="eastAsia" w:ascii="宋体" w:hAnsi="宋体" w:cs="宋体"/>
        </w:rPr>
        <w:t>件，纠正率</w:t>
      </w:r>
      <w:r>
        <w:rPr>
          <w:rFonts w:ascii="宋体" w:hAnsi="宋体" w:cs="宋体"/>
        </w:rPr>
        <w:t>90.9%</w:t>
      </w:r>
      <w:r>
        <w:rPr>
          <w:rFonts w:hint="eastAsia" w:ascii="宋体" w:hAnsi="宋体" w:cs="宋体"/>
        </w:rPr>
        <w:t>，尚未到一个月回复期限的</w:t>
      </w:r>
      <w:r>
        <w:rPr>
          <w:rFonts w:ascii="宋体" w:hAnsi="宋体" w:cs="宋体"/>
        </w:rPr>
        <w:t>216</w:t>
      </w:r>
      <w:r>
        <w:rPr>
          <w:rFonts w:hint="eastAsia" w:ascii="宋体" w:hAnsi="宋体" w:cs="宋体"/>
        </w:rPr>
        <w:t>件。对于非试点地区的佛山市而言，自</w:t>
      </w:r>
      <w:r>
        <w:rPr>
          <w:rFonts w:ascii="宋体" w:hAnsi="宋体" w:cs="宋体"/>
        </w:rPr>
        <w:t>2017</w:t>
      </w:r>
      <w:r>
        <w:rPr>
          <w:rFonts w:hint="eastAsia" w:ascii="宋体" w:hAnsi="宋体" w:cs="宋体"/>
        </w:rPr>
        <w:t>年</w:t>
      </w:r>
      <w:r>
        <w:rPr>
          <w:rFonts w:ascii="宋体" w:hAnsi="宋体" w:cs="宋体"/>
        </w:rPr>
        <w:t>7</w:t>
      </w:r>
      <w:r>
        <w:rPr>
          <w:rFonts w:hint="eastAsia" w:ascii="宋体" w:hAnsi="宋体" w:cs="宋体"/>
        </w:rPr>
        <w:t>月</w:t>
      </w:r>
      <w:r>
        <w:rPr>
          <w:rFonts w:ascii="宋体" w:hAnsi="宋体" w:cs="宋体"/>
        </w:rPr>
        <w:t>1</w:t>
      </w:r>
      <w:r>
        <w:rPr>
          <w:rFonts w:hint="eastAsia" w:ascii="宋体" w:hAnsi="宋体" w:cs="宋体"/>
        </w:rPr>
        <w:t>日起，佛山市民行部门共立行政公益诉讼案件</w:t>
      </w:r>
      <w:r>
        <w:rPr>
          <w:rFonts w:ascii="宋体" w:hAnsi="宋体" w:cs="宋体"/>
        </w:rPr>
        <w:t>14</w:t>
      </w:r>
      <w:r>
        <w:rPr>
          <w:rFonts w:hint="eastAsia" w:ascii="宋体" w:hAnsi="宋体" w:cs="宋体"/>
        </w:rPr>
        <w:t>件，对其中</w:t>
      </w:r>
      <w:r>
        <w:rPr>
          <w:rFonts w:ascii="宋体" w:hAnsi="宋体" w:cs="宋体"/>
        </w:rPr>
        <w:t>7</w:t>
      </w:r>
      <w:r>
        <w:rPr>
          <w:rFonts w:hint="eastAsia" w:ascii="宋体" w:hAnsi="宋体" w:cs="宋体"/>
        </w:rPr>
        <w:t>件案件发出诉前检察建议。</w:t>
      </w:r>
    </w:p>
    <w:p>
      <w:pPr>
        <w:pStyle w:val="4"/>
        <w:widowControl/>
        <w:adjustRightInd w:val="0"/>
        <w:snapToGrid w:val="0"/>
        <w:spacing w:line="360" w:lineRule="auto"/>
        <w:ind w:firstLine="560" w:firstLineChars="200"/>
        <w:jc w:val="both"/>
        <w:rPr>
          <w:rFonts w:ascii="黑体" w:hAnsi="黑体" w:eastAsia="黑体" w:cs="Times New Roman"/>
          <w:sz w:val="28"/>
          <w:szCs w:val="28"/>
        </w:rPr>
      </w:pPr>
      <w:r>
        <w:rPr>
          <w:rFonts w:hint="eastAsia" w:ascii="黑体" w:hAnsi="黑体" w:eastAsia="黑体" w:cs="黑体"/>
          <w:sz w:val="28"/>
          <w:szCs w:val="28"/>
        </w:rPr>
        <w:t>（三）行政违法监督现状</w:t>
      </w:r>
    </w:p>
    <w:p>
      <w:pPr>
        <w:pStyle w:val="4"/>
        <w:widowControl/>
        <w:adjustRightInd w:val="0"/>
        <w:snapToGrid w:val="0"/>
        <w:spacing w:line="360" w:lineRule="auto"/>
        <w:ind w:firstLine="480" w:firstLineChars="200"/>
        <w:jc w:val="both"/>
        <w:rPr>
          <w:rFonts w:ascii="宋体" w:cs="宋体"/>
        </w:rPr>
      </w:pPr>
      <w:r>
        <w:rPr>
          <w:rFonts w:hint="eastAsia" w:ascii="宋体" w:hAnsi="宋体" w:cs="宋体"/>
        </w:rPr>
        <w:t>在《中共中央关于全面推进依法治国若干重大问题的决定》中提出的“检察机关在履行职责中发现行政机关违法行使职权或者不行使职权的行为，应当督促其纠正”为行政违法监督提供了政策性依据。工作实际中，检察机关主要选取与社会利益、公共利益密切相关、群众关注度高等领域开展工作。如佛山市各区民行部门在</w:t>
      </w:r>
      <w:r>
        <w:rPr>
          <w:rFonts w:ascii="宋体" w:hAnsi="宋体" w:cs="宋体"/>
        </w:rPr>
        <w:t>2017</w:t>
      </w:r>
      <w:r>
        <w:rPr>
          <w:rFonts w:hint="eastAsia" w:ascii="宋体" w:hAnsi="宋体" w:cs="宋体"/>
        </w:rPr>
        <w:t>年的行政违法监督案件共</w:t>
      </w:r>
      <w:r>
        <w:rPr>
          <w:rFonts w:ascii="宋体" w:hAnsi="宋体" w:cs="宋体"/>
        </w:rPr>
        <w:t>47</w:t>
      </w:r>
      <w:r>
        <w:rPr>
          <w:rFonts w:hint="eastAsia" w:ascii="宋体" w:hAnsi="宋体" w:cs="宋体"/>
        </w:rPr>
        <w:t>件，去年同期为</w:t>
      </w:r>
      <w:r>
        <w:rPr>
          <w:rFonts w:ascii="宋体" w:hAnsi="宋体" w:cs="宋体"/>
        </w:rPr>
        <w:t>8</w:t>
      </w:r>
      <w:r>
        <w:rPr>
          <w:rFonts w:hint="eastAsia" w:ascii="宋体" w:hAnsi="宋体" w:cs="宋体"/>
        </w:rPr>
        <w:t>件，案件受理数量大幅上升。目前已作出监督决定的案件</w:t>
      </w:r>
      <w:r>
        <w:rPr>
          <w:rFonts w:ascii="宋体" w:hAnsi="宋体" w:cs="宋体"/>
        </w:rPr>
        <w:t>36</w:t>
      </w:r>
      <w:r>
        <w:rPr>
          <w:rFonts w:hint="eastAsia" w:ascii="宋体" w:hAnsi="宋体" w:cs="宋体"/>
        </w:rPr>
        <w:t>件，对行政机关不当履行职责有效加强了监督，有力促进了政府部门的正确履职。</w:t>
      </w:r>
    </w:p>
    <w:p>
      <w:pPr>
        <w:pStyle w:val="4"/>
        <w:widowControl/>
        <w:adjustRightInd w:val="0"/>
        <w:snapToGrid w:val="0"/>
        <w:spacing w:line="360" w:lineRule="auto"/>
        <w:ind w:firstLine="480" w:firstLineChars="200"/>
        <w:jc w:val="both"/>
        <w:rPr>
          <w:rFonts w:ascii="宋体" w:cs="宋体"/>
        </w:rPr>
      </w:pPr>
      <w:r>
        <w:rPr>
          <w:rFonts w:hint="eastAsia" w:ascii="宋体" w:hAnsi="宋体" w:cs="宋体"/>
        </w:rPr>
        <w:t>综上，行政检察监督制度雏形已基本确立并呈现出单向监督向多元化监督、部分监督向全程监督发展的制度特点。</w:t>
      </w:r>
    </w:p>
    <w:p>
      <w:pPr>
        <w:pStyle w:val="4"/>
        <w:widowControl/>
        <w:adjustRightInd w:val="0"/>
        <w:snapToGrid w:val="0"/>
        <w:spacing w:line="360" w:lineRule="auto"/>
        <w:ind w:firstLine="600" w:firstLineChars="200"/>
        <w:jc w:val="both"/>
        <w:rPr>
          <w:rFonts w:ascii="黑体" w:hAnsi="黑体" w:eastAsia="黑体" w:cs="Times New Roman"/>
          <w:sz w:val="30"/>
          <w:szCs w:val="30"/>
        </w:rPr>
      </w:pPr>
      <w:r>
        <w:rPr>
          <w:rFonts w:hint="eastAsia" w:ascii="黑体" w:hAnsi="黑体" w:eastAsia="黑体" w:cs="黑体"/>
          <w:sz w:val="30"/>
          <w:szCs w:val="30"/>
        </w:rPr>
        <w:t>二、行政检察监督的困境</w:t>
      </w:r>
    </w:p>
    <w:p>
      <w:pPr>
        <w:pStyle w:val="4"/>
        <w:shd w:val="clear" w:color="auto" w:fill="FFFFFF"/>
        <w:adjustRightInd w:val="0"/>
        <w:snapToGrid w:val="0"/>
        <w:spacing w:line="360" w:lineRule="auto"/>
        <w:ind w:firstLine="560" w:firstLineChars="200"/>
        <w:jc w:val="both"/>
        <w:rPr>
          <w:rFonts w:ascii="黑体" w:hAnsi="黑体" w:eastAsia="黑体" w:cs="Times New Roman"/>
          <w:sz w:val="28"/>
          <w:szCs w:val="28"/>
        </w:rPr>
      </w:pPr>
      <w:r>
        <w:rPr>
          <w:rFonts w:hint="eastAsia" w:ascii="黑体" w:hAnsi="黑体" w:eastAsia="黑体" w:cs="黑体"/>
          <w:sz w:val="28"/>
          <w:szCs w:val="28"/>
        </w:rPr>
        <w:t>（一）行政检察监督的制度困境</w:t>
      </w:r>
    </w:p>
    <w:p>
      <w:pPr>
        <w:pStyle w:val="4"/>
        <w:shd w:val="clear" w:color="auto" w:fill="FFFFFF"/>
        <w:adjustRightInd w:val="0"/>
        <w:snapToGrid w:val="0"/>
        <w:spacing w:line="360" w:lineRule="auto"/>
        <w:ind w:firstLine="480" w:firstLineChars="200"/>
        <w:jc w:val="both"/>
        <w:rPr>
          <w:rFonts w:ascii="黑体" w:hAnsi="黑体" w:eastAsia="黑体" w:cs="Times New Roman"/>
        </w:rPr>
      </w:pPr>
      <w:r>
        <w:rPr>
          <w:rFonts w:ascii="黑体" w:hAnsi="黑体" w:eastAsia="黑体" w:cs="黑体"/>
        </w:rPr>
        <w:t>1</w:t>
      </w:r>
      <w:r>
        <w:rPr>
          <w:rFonts w:hint="eastAsia" w:ascii="黑体" w:hAnsi="黑体" w:eastAsia="黑体" w:cs="黑体"/>
        </w:rPr>
        <w:t>、开展行政检察工作的法律依据不足</w:t>
      </w:r>
    </w:p>
    <w:p>
      <w:pPr>
        <w:pStyle w:val="4"/>
        <w:shd w:val="clear" w:color="auto" w:fill="FFFFFF"/>
        <w:adjustRightInd w:val="0"/>
        <w:snapToGrid w:val="0"/>
        <w:spacing w:line="360" w:lineRule="auto"/>
        <w:ind w:firstLine="480" w:firstLineChars="200"/>
        <w:jc w:val="both"/>
        <w:rPr>
          <w:rFonts w:ascii="宋体" w:cs="宋体"/>
        </w:rPr>
      </w:pPr>
      <w:r>
        <w:rPr>
          <w:rFonts w:hint="eastAsia" w:ascii="宋体" w:hAnsi="宋体" w:cs="宋体"/>
        </w:rPr>
        <w:t>检察机关对行政检察监督工作开展相关规定的缺失已经影响了制度构建的规范性与严谨性，立法的分散性也使工作开展举步维艰，增加了检察机关与其他机关的沟通难度。具体表现为：对行政违法行为的监督缺乏法律依据；部分对行政检察进行规定的条文法律性、权威性不足，许多问题规定在检察机关的内部办案规则、办案指南以及相关部门的会签文件中，监督依据效力不高；明确性规定之间欠缺有效的衔接机制、抽象性规定与具体性规定间的统一性不足导致行政检察制度“横梁断裂”。</w:t>
      </w:r>
    </w:p>
    <w:p>
      <w:pPr>
        <w:pStyle w:val="4"/>
        <w:shd w:val="clear" w:color="auto" w:fill="FFFFFF"/>
        <w:adjustRightInd w:val="0"/>
        <w:snapToGrid w:val="0"/>
        <w:spacing w:line="360" w:lineRule="auto"/>
        <w:ind w:firstLine="480" w:firstLineChars="200"/>
        <w:jc w:val="both"/>
        <w:rPr>
          <w:rFonts w:ascii="黑体" w:hAnsi="黑体" w:eastAsia="黑体" w:cs="Times New Roman"/>
        </w:rPr>
      </w:pPr>
      <w:r>
        <w:rPr>
          <w:rFonts w:ascii="黑体" w:hAnsi="黑体" w:eastAsia="黑体" w:cs="黑体"/>
        </w:rPr>
        <w:t>2</w:t>
      </w:r>
      <w:r>
        <w:rPr>
          <w:rFonts w:hint="eastAsia" w:ascii="黑体" w:hAnsi="黑体" w:eastAsia="黑体" w:cs="黑体"/>
        </w:rPr>
        <w:t>、行政检察基础性问题有待解决</w:t>
      </w:r>
    </w:p>
    <w:p>
      <w:pPr>
        <w:pStyle w:val="4"/>
        <w:shd w:val="clear" w:color="auto" w:fill="FFFFFF"/>
        <w:adjustRightInd w:val="0"/>
        <w:snapToGrid w:val="0"/>
        <w:spacing w:line="360" w:lineRule="auto"/>
        <w:ind w:firstLine="480" w:firstLineChars="200"/>
        <w:jc w:val="both"/>
        <w:rPr>
          <w:rFonts w:ascii="宋体" w:cs="宋体"/>
        </w:rPr>
      </w:pPr>
      <w:r>
        <w:rPr>
          <w:rFonts w:hint="eastAsia" w:ascii="宋体" w:hAnsi="宋体" w:cs="宋体"/>
        </w:rPr>
        <w:t>制度设计中固有内涵的模糊、基本框架的缺失会影响制度实行的稳定性与缩短制度存在的有效期限。存在的问题有：一是行政检察监督范围模糊问题有待解决。行政违法行为监督范围并不明确，就某一具体的监督对象如“行政行为”而言，具体的监督范围也是模糊的。二是行政检察开展的时机和阶段问题有待解决。检察机关对行政诉讼、行政行为的监督是否应做到全程覆盖？这种无孔不入的监督不仅缺乏现实可行性</w:t>
      </w:r>
      <w:r>
        <w:rPr>
          <w:rStyle w:val="7"/>
        </w:rPr>
        <w:footnoteReference w:id="7"/>
      </w:r>
      <w:r>
        <w:rPr>
          <w:rFonts w:hint="eastAsia" w:ascii="宋体" w:hAnsi="宋体" w:cs="宋体"/>
        </w:rPr>
        <w:t>，也违反了检察权的谦抑性原则。三是行政检察原则的确定与落实问题有待解决。</w:t>
      </w:r>
    </w:p>
    <w:p>
      <w:pPr>
        <w:pStyle w:val="4"/>
        <w:shd w:val="clear" w:color="auto" w:fill="FFFFFF"/>
        <w:adjustRightInd w:val="0"/>
        <w:snapToGrid w:val="0"/>
        <w:spacing w:line="360" w:lineRule="auto"/>
        <w:ind w:firstLine="480" w:firstLineChars="200"/>
        <w:jc w:val="both"/>
        <w:rPr>
          <w:rFonts w:ascii="黑体" w:hAnsi="黑体" w:eastAsia="黑体" w:cs="Times New Roman"/>
        </w:rPr>
      </w:pPr>
      <w:r>
        <w:rPr>
          <w:rFonts w:ascii="黑体" w:hAnsi="黑体" w:eastAsia="黑体" w:cs="黑体"/>
        </w:rPr>
        <w:t>3</w:t>
      </w:r>
      <w:r>
        <w:rPr>
          <w:rFonts w:hint="eastAsia" w:ascii="黑体" w:hAnsi="黑体" w:eastAsia="黑体" w:cs="黑体"/>
        </w:rPr>
        <w:t>、行政监督刚性不足</w:t>
      </w:r>
    </w:p>
    <w:p>
      <w:pPr>
        <w:pStyle w:val="4"/>
        <w:shd w:val="clear" w:color="auto" w:fill="FFFFFF"/>
        <w:adjustRightInd w:val="0"/>
        <w:snapToGrid w:val="0"/>
        <w:spacing w:line="360" w:lineRule="auto"/>
        <w:ind w:firstLine="480" w:firstLineChars="200"/>
        <w:jc w:val="both"/>
        <w:rPr>
          <w:rFonts w:ascii="宋体" w:cs="宋体"/>
        </w:rPr>
      </w:pPr>
      <w:r>
        <w:rPr>
          <w:rFonts w:hint="eastAsia" w:ascii="宋体" w:hAnsi="宋体" w:cs="宋体"/>
        </w:rPr>
        <w:t>因无统一的规定，同一类型的行政违法监督案件采用不同类型的监督方式对行政检察的监督约束力造成了冲击。就检察建议而言，归根到底其还是一份“建议”，某些行政机关逾期不回复建议、拒绝采纳建议等情形只要存在着就会严重影响检察建议整体功能的发挥。即使是检察建议被行政机关采纳了，因双方缺乏有效的反馈机制和后续跟进监督机制，监督并不能取得理想的效果。</w:t>
      </w:r>
    </w:p>
    <w:p>
      <w:pPr>
        <w:pStyle w:val="4"/>
        <w:shd w:val="clear" w:color="auto" w:fill="FFFFFF"/>
        <w:adjustRightInd w:val="0"/>
        <w:snapToGrid w:val="0"/>
        <w:spacing w:line="360" w:lineRule="auto"/>
        <w:ind w:firstLine="560" w:firstLineChars="200"/>
        <w:jc w:val="both"/>
        <w:rPr>
          <w:rFonts w:ascii="黑体" w:hAnsi="黑体" w:eastAsia="黑体" w:cs="Times New Roman"/>
          <w:sz w:val="28"/>
          <w:szCs w:val="28"/>
        </w:rPr>
      </w:pPr>
      <w:r>
        <w:rPr>
          <w:rFonts w:hint="eastAsia" w:ascii="黑体" w:hAnsi="黑体" w:eastAsia="黑体" w:cs="黑体"/>
          <w:sz w:val="28"/>
          <w:szCs w:val="28"/>
        </w:rPr>
        <w:t>（二）行政检察监督的运行困境</w:t>
      </w:r>
    </w:p>
    <w:p>
      <w:pPr>
        <w:pStyle w:val="4"/>
        <w:shd w:val="clear" w:color="auto" w:fill="FFFFFF"/>
        <w:adjustRightInd w:val="0"/>
        <w:snapToGrid w:val="0"/>
        <w:spacing w:line="360" w:lineRule="auto"/>
        <w:ind w:firstLine="480" w:firstLineChars="200"/>
        <w:jc w:val="both"/>
        <w:rPr>
          <w:rFonts w:ascii="黑体" w:hAnsi="黑体" w:eastAsia="黑体" w:cs="Times New Roman"/>
        </w:rPr>
      </w:pPr>
      <w:r>
        <w:rPr>
          <w:rFonts w:ascii="黑体" w:hAnsi="黑体" w:eastAsia="黑体" w:cs="黑体"/>
        </w:rPr>
        <w:t>1</w:t>
      </w:r>
      <w:r>
        <w:rPr>
          <w:rFonts w:hint="eastAsia" w:ascii="黑体" w:hAnsi="黑体" w:eastAsia="黑体" w:cs="黑体"/>
        </w:rPr>
        <w:t>、检察机关角色定位不清晰</w:t>
      </w:r>
    </w:p>
    <w:p>
      <w:pPr>
        <w:pStyle w:val="4"/>
        <w:shd w:val="clear" w:color="auto" w:fill="FFFFFF"/>
        <w:adjustRightInd w:val="0"/>
        <w:snapToGrid w:val="0"/>
        <w:spacing w:line="360" w:lineRule="auto"/>
        <w:ind w:firstLine="480" w:firstLineChars="200"/>
        <w:jc w:val="both"/>
        <w:rPr>
          <w:rFonts w:ascii="宋体" w:cs="宋体"/>
        </w:rPr>
      </w:pPr>
      <w:r>
        <w:rPr>
          <w:rFonts w:hint="eastAsia" w:ascii="宋体" w:hAnsi="宋体" w:cs="宋体"/>
        </w:rPr>
        <w:t>根深蒂固的司法理念还未转变。“重刑事，轻民行”、“重办案，轻监督”的司法理念阻碍了检察机关履行行政监督职能，影响了检察机关的机构设置与人员分配的合理性。特别是在国家监察体制改革的大背景下，如何抓住转隶的机遇在清晰定位的基础上寻求行政检察等新亮点职能的突破，是值得各级检察机关思考的难题。</w:t>
      </w:r>
    </w:p>
    <w:p>
      <w:pPr>
        <w:pStyle w:val="4"/>
        <w:shd w:val="clear" w:color="auto" w:fill="FFFFFF"/>
        <w:adjustRightInd w:val="0"/>
        <w:snapToGrid w:val="0"/>
        <w:spacing w:line="360" w:lineRule="auto"/>
        <w:ind w:firstLine="480" w:firstLineChars="200"/>
        <w:jc w:val="both"/>
        <w:rPr>
          <w:rFonts w:ascii="黑体" w:hAnsi="黑体" w:eastAsia="黑体" w:cs="Times New Roman"/>
        </w:rPr>
      </w:pPr>
      <w:r>
        <w:rPr>
          <w:rFonts w:ascii="黑体" w:hAnsi="黑体" w:eastAsia="黑体" w:cs="黑体"/>
        </w:rPr>
        <w:t>2</w:t>
      </w:r>
      <w:r>
        <w:rPr>
          <w:rFonts w:hint="eastAsia" w:ascii="黑体" w:hAnsi="黑体" w:eastAsia="黑体" w:cs="黑体"/>
        </w:rPr>
        <w:t>、检察机关内部机制不健全</w:t>
      </w:r>
    </w:p>
    <w:p>
      <w:pPr>
        <w:pStyle w:val="4"/>
        <w:shd w:val="clear" w:color="auto" w:fill="FFFFFF"/>
        <w:adjustRightInd w:val="0"/>
        <w:snapToGrid w:val="0"/>
        <w:spacing w:line="360" w:lineRule="auto"/>
        <w:ind w:firstLine="480" w:firstLineChars="200"/>
        <w:jc w:val="both"/>
        <w:rPr>
          <w:rFonts w:ascii="宋体" w:cs="宋体"/>
        </w:rPr>
      </w:pPr>
      <w:r>
        <w:rPr>
          <w:rFonts w:hint="eastAsia" w:ascii="宋体" w:hAnsi="宋体" w:cs="宋体"/>
        </w:rPr>
        <w:t>某些检察机关缺乏健全的内部机制导致行政检察工作因力量分散、管理混乱、评价不一等因素发展缓慢。缺乏内部协作机制，民事行政检察部门“孤军奋战”的现象时有发生；缺乏内部分工机制，导致“外行人监督内行人”的尴尬情形时有出现；缺乏线索发现与管理机制，使推进工作开展的“敲门砖”变成“绊脚石”的状况时有存在；缺乏内部办案流程机制，行政检察工作严谨性时常被破坏；缺乏合理的内部考核机制，检察人员工作的积极性时常受挫。</w:t>
      </w:r>
    </w:p>
    <w:p>
      <w:pPr>
        <w:pStyle w:val="4"/>
        <w:shd w:val="clear" w:color="auto" w:fill="FFFFFF"/>
        <w:adjustRightInd w:val="0"/>
        <w:snapToGrid w:val="0"/>
        <w:spacing w:line="360" w:lineRule="auto"/>
        <w:ind w:firstLine="480" w:firstLineChars="200"/>
        <w:jc w:val="both"/>
        <w:rPr>
          <w:rFonts w:ascii="黑体" w:hAnsi="黑体" w:eastAsia="黑体" w:cs="Times New Roman"/>
        </w:rPr>
      </w:pPr>
      <w:r>
        <w:rPr>
          <w:rFonts w:ascii="黑体" w:hAnsi="黑体" w:eastAsia="黑体" w:cs="黑体"/>
        </w:rPr>
        <w:t>3</w:t>
      </w:r>
      <w:r>
        <w:rPr>
          <w:rFonts w:hint="eastAsia" w:ascii="黑体" w:hAnsi="黑体" w:eastAsia="黑体" w:cs="黑体"/>
        </w:rPr>
        <w:t>、检察机关外部平台搭建不完善</w:t>
      </w:r>
    </w:p>
    <w:p>
      <w:pPr>
        <w:adjustRightInd w:val="0"/>
        <w:snapToGrid w:val="0"/>
        <w:spacing w:line="360" w:lineRule="auto"/>
        <w:ind w:firstLine="480" w:firstLineChars="200"/>
        <w:rPr>
          <w:rFonts w:ascii="宋体" w:cs="宋体"/>
          <w:kern w:val="0"/>
          <w:sz w:val="24"/>
          <w:szCs w:val="24"/>
        </w:rPr>
      </w:pPr>
      <w:r>
        <w:rPr>
          <w:rFonts w:hint="eastAsia" w:ascii="宋体" w:hAnsi="宋体" w:cs="宋体"/>
          <w:kern w:val="0"/>
          <w:sz w:val="24"/>
          <w:szCs w:val="24"/>
        </w:rPr>
        <w:t>缺乏上下级检察机关联动平台；未与地方党委、人大、地方政府搭建行政检察推进平台；未与信访、环保等相关部门搭建信息共享平台；未与公安机关以及法院搭建协助平台等导致检察机关与相关部门在行政检察工作中出现立场矛盾、各自为政的情况。</w:t>
      </w:r>
    </w:p>
    <w:p>
      <w:pPr>
        <w:pStyle w:val="4"/>
        <w:widowControl/>
        <w:adjustRightInd w:val="0"/>
        <w:snapToGrid w:val="0"/>
        <w:spacing w:line="360" w:lineRule="auto"/>
        <w:ind w:firstLine="600" w:firstLineChars="200"/>
        <w:jc w:val="both"/>
        <w:rPr>
          <w:rFonts w:ascii="黑体" w:hAnsi="黑体" w:eastAsia="黑体" w:cs="Times New Roman"/>
          <w:sz w:val="30"/>
          <w:szCs w:val="30"/>
        </w:rPr>
      </w:pPr>
      <w:r>
        <w:rPr>
          <w:rFonts w:hint="eastAsia" w:ascii="黑体" w:hAnsi="黑体" w:eastAsia="黑体" w:cs="黑体"/>
          <w:sz w:val="30"/>
          <w:szCs w:val="30"/>
        </w:rPr>
        <w:t>三、行政检察监督的出路</w:t>
      </w:r>
      <w:r>
        <w:rPr>
          <w:rFonts w:ascii="黑体" w:hAnsi="黑体" w:eastAsia="黑体" w:cs="黑体"/>
          <w:sz w:val="30"/>
          <w:szCs w:val="30"/>
        </w:rPr>
        <w:t>——</w:t>
      </w:r>
      <w:r>
        <w:rPr>
          <w:rFonts w:hint="eastAsia" w:ascii="黑体" w:hAnsi="黑体" w:eastAsia="黑体" w:cs="黑体"/>
          <w:sz w:val="30"/>
          <w:szCs w:val="30"/>
        </w:rPr>
        <w:t>以佛山市顺德区检察院行政检察品牌创建为视角</w:t>
      </w:r>
    </w:p>
    <w:p>
      <w:pPr>
        <w:adjustRightInd w:val="0"/>
        <w:snapToGrid w:val="0"/>
        <w:spacing w:line="360" w:lineRule="auto"/>
        <w:ind w:firstLine="480" w:firstLineChars="200"/>
        <w:rPr>
          <w:rFonts w:ascii="宋体" w:cs="宋体"/>
          <w:kern w:val="0"/>
          <w:sz w:val="24"/>
          <w:szCs w:val="24"/>
        </w:rPr>
      </w:pPr>
      <w:r>
        <w:rPr>
          <w:rFonts w:hint="eastAsia" w:ascii="宋体" w:hAnsi="宋体" w:cs="宋体"/>
          <w:kern w:val="0"/>
          <w:sz w:val="24"/>
          <w:szCs w:val="24"/>
        </w:rPr>
        <w:t>习近平总书记强调：“对改革进程中出现或者可能出现的问题，困难要做到一个一个克服，问题要一个一个解决，既要敢于出招又要善于应招，做到“蹄疾而步稳”，检察机关只有正视困境、寻找出路，才能不断推动行政检察工作迈上新的台阶。</w:t>
      </w:r>
    </w:p>
    <w:p>
      <w:pPr>
        <w:adjustRightInd w:val="0"/>
        <w:snapToGrid w:val="0"/>
        <w:spacing w:line="360" w:lineRule="auto"/>
        <w:ind w:firstLine="480" w:firstLineChars="200"/>
        <w:rPr>
          <w:rFonts w:ascii="宋体" w:cs="宋体"/>
          <w:kern w:val="0"/>
          <w:sz w:val="24"/>
          <w:szCs w:val="24"/>
        </w:rPr>
      </w:pPr>
      <w:r>
        <w:rPr>
          <w:rFonts w:hint="eastAsia" w:ascii="宋体" w:hAnsi="宋体" w:cs="宋体"/>
          <w:kern w:val="0"/>
          <w:sz w:val="24"/>
          <w:szCs w:val="24"/>
        </w:rPr>
        <w:t>佛山市顺德区检察院扎实履行行政检察监督职责，通过建立行政检察与行政管理、行政执法相衔接的工作机制，逐步摸索实现对诉讼前、诉讼中及诉讼后行政行为的全面监督，并在探索与实践中不断积累具有顺德检察特色的行政检察经验。在品牌创设的过程中，该院面对司法实践运行难题时善于勇于敢于寻求出路，行政检察工作始终积极、稳妥、有序推进着。</w:t>
      </w:r>
    </w:p>
    <w:p>
      <w:pPr>
        <w:pStyle w:val="4"/>
        <w:shd w:val="clear" w:color="auto" w:fill="FFFFFF"/>
        <w:adjustRightInd w:val="0"/>
        <w:snapToGrid w:val="0"/>
        <w:spacing w:line="360" w:lineRule="auto"/>
        <w:ind w:firstLine="560" w:firstLineChars="200"/>
        <w:jc w:val="both"/>
        <w:rPr>
          <w:rFonts w:ascii="黑体" w:hAnsi="黑体" w:eastAsia="黑体" w:cs="Times New Roman"/>
          <w:sz w:val="28"/>
          <w:szCs w:val="28"/>
        </w:rPr>
      </w:pPr>
      <w:r>
        <w:rPr>
          <w:rFonts w:hint="eastAsia" w:ascii="黑体" w:hAnsi="黑体" w:eastAsia="黑体" w:cs="黑体"/>
          <w:sz w:val="28"/>
          <w:szCs w:val="28"/>
        </w:rPr>
        <w:t>（一）明确方向：构建行政检察监督体系</w:t>
      </w:r>
    </w:p>
    <w:p>
      <w:pPr>
        <w:adjustRightInd w:val="0"/>
        <w:snapToGrid w:val="0"/>
        <w:spacing w:line="360" w:lineRule="auto"/>
        <w:ind w:firstLine="480" w:firstLineChars="200"/>
        <w:rPr>
          <w:rFonts w:ascii="宋体" w:cs="宋体"/>
          <w:kern w:val="0"/>
          <w:sz w:val="24"/>
          <w:szCs w:val="24"/>
        </w:rPr>
      </w:pPr>
      <w:r>
        <w:rPr>
          <w:rFonts w:ascii="黑体" w:hAnsi="黑体" w:eastAsia="黑体" w:cs="黑体"/>
          <w:kern w:val="0"/>
          <w:sz w:val="24"/>
          <w:szCs w:val="24"/>
        </w:rPr>
        <w:t>1</w:t>
      </w:r>
      <w:r>
        <w:rPr>
          <w:rFonts w:hint="eastAsia" w:ascii="黑体" w:hAnsi="黑体" w:eastAsia="黑体" w:cs="黑体"/>
          <w:kern w:val="0"/>
          <w:sz w:val="24"/>
          <w:szCs w:val="24"/>
        </w:rPr>
        <w:t>、确定行政检察工作的范围。</w:t>
      </w:r>
      <w:r>
        <w:rPr>
          <w:rFonts w:hint="eastAsia" w:ascii="宋体" w:hAnsi="宋体" w:cs="宋体"/>
          <w:kern w:val="0"/>
          <w:sz w:val="24"/>
          <w:szCs w:val="24"/>
        </w:rPr>
        <w:t>该院以行政公益诉讼工作为龙头，行政诉讼监督和行政违法监督为双轮驱动促进行政检察工作行稳致远，既坚持有限监督，又坚持突出重点。</w:t>
      </w:r>
    </w:p>
    <w:p>
      <w:pPr>
        <w:adjustRightInd w:val="0"/>
        <w:snapToGrid w:val="0"/>
        <w:spacing w:line="360" w:lineRule="auto"/>
        <w:ind w:firstLine="480" w:firstLineChars="200"/>
        <w:rPr>
          <w:rFonts w:ascii="宋体" w:cs="宋体"/>
          <w:kern w:val="0"/>
          <w:sz w:val="24"/>
          <w:szCs w:val="24"/>
        </w:rPr>
      </w:pPr>
      <w:r>
        <w:rPr>
          <w:rFonts w:hint="eastAsia" w:ascii="宋体" w:hAnsi="宋体" w:cs="宋体"/>
          <w:kern w:val="0"/>
          <w:sz w:val="24"/>
          <w:szCs w:val="24"/>
        </w:rPr>
        <w:t>对行政诉讼的监督，除被动受理行政申诉案件外，该院根据</w:t>
      </w:r>
      <w:r>
        <w:rPr>
          <w:rFonts w:hint="eastAsia" w:ascii="宋体" w:hAnsi="宋体" w:cs="宋体"/>
          <w:sz w:val="24"/>
          <w:szCs w:val="24"/>
        </w:rPr>
        <w:t>《规则》第九条</w:t>
      </w:r>
      <w:r>
        <w:rPr>
          <w:rStyle w:val="7"/>
          <w:sz w:val="24"/>
          <w:szCs w:val="24"/>
        </w:rPr>
        <w:footnoteReference w:id="8"/>
      </w:r>
      <w:r>
        <w:rPr>
          <w:rFonts w:hint="eastAsia" w:ascii="宋体" w:hAnsi="宋体" w:cs="宋体"/>
          <w:sz w:val="24"/>
          <w:szCs w:val="24"/>
        </w:rPr>
        <w:t>的规定排查梳理线索，通过旁听庭审、查阅案件卷宗等方式发现审判程序、审判结果存在的问题并依职权进行监督。</w:t>
      </w:r>
    </w:p>
    <w:p>
      <w:pPr>
        <w:adjustRightInd w:val="0"/>
        <w:snapToGrid w:val="0"/>
        <w:spacing w:line="360" w:lineRule="auto"/>
        <w:ind w:firstLine="480" w:firstLineChars="200"/>
        <w:rPr>
          <w:rFonts w:ascii="宋体" w:cs="宋体"/>
          <w:kern w:val="0"/>
          <w:sz w:val="24"/>
          <w:szCs w:val="24"/>
        </w:rPr>
      </w:pPr>
      <w:r>
        <w:rPr>
          <w:rFonts w:hint="eastAsia" w:ascii="宋体" w:hAnsi="宋体" w:cs="宋体"/>
          <w:kern w:val="0"/>
          <w:sz w:val="24"/>
          <w:szCs w:val="24"/>
        </w:rPr>
        <w:t>对行政违法行为进行监督，该院对监督客体以及内容进行了一定的限制：限于社会影响大、群众反映强烈或对国家利益、公共利益、社会利益造成侵害的具体行政行为。</w:t>
      </w:r>
    </w:p>
    <w:p>
      <w:pPr>
        <w:adjustRightInd w:val="0"/>
        <w:snapToGrid w:val="0"/>
        <w:spacing w:line="360" w:lineRule="auto"/>
        <w:ind w:firstLine="480" w:firstLineChars="200"/>
        <w:rPr>
          <w:rFonts w:ascii="宋体" w:cs="宋体"/>
          <w:kern w:val="0"/>
          <w:sz w:val="24"/>
          <w:szCs w:val="24"/>
        </w:rPr>
      </w:pPr>
      <w:r>
        <w:rPr>
          <w:rFonts w:hint="eastAsia" w:ascii="宋体" w:hAnsi="宋体" w:cs="宋体"/>
          <w:kern w:val="0"/>
          <w:sz w:val="24"/>
          <w:szCs w:val="24"/>
        </w:rPr>
        <w:t>随着我国社会与经济的不断发展，行政检察的内容必定会发生一定的变化。只要抓住本质，把握重点，检察机关就能有效发挥出检察职能在促进依法行政中的重要作用。</w:t>
      </w:r>
    </w:p>
    <w:p>
      <w:pPr>
        <w:adjustRightInd w:val="0"/>
        <w:snapToGrid w:val="0"/>
        <w:spacing w:line="360" w:lineRule="auto"/>
        <w:ind w:firstLine="480" w:firstLineChars="200"/>
        <w:rPr>
          <w:rFonts w:ascii="黑体" w:hAnsi="黑体" w:eastAsia="黑体" w:cs="Times New Roman"/>
          <w:kern w:val="0"/>
          <w:sz w:val="24"/>
          <w:szCs w:val="24"/>
        </w:rPr>
      </w:pPr>
      <w:r>
        <w:rPr>
          <w:rFonts w:ascii="黑体" w:hAnsi="黑体" w:eastAsia="黑体" w:cs="黑体"/>
          <w:kern w:val="0"/>
          <w:sz w:val="24"/>
          <w:szCs w:val="24"/>
        </w:rPr>
        <w:t>2</w:t>
      </w:r>
      <w:r>
        <w:rPr>
          <w:rFonts w:hint="eastAsia" w:ascii="黑体" w:hAnsi="黑体" w:eastAsia="黑体" w:cs="黑体"/>
          <w:kern w:val="0"/>
          <w:sz w:val="24"/>
          <w:szCs w:val="24"/>
        </w:rPr>
        <w:t>、遵守行政检察工作原则</w:t>
      </w:r>
    </w:p>
    <w:p>
      <w:pPr>
        <w:adjustRightInd w:val="0"/>
        <w:snapToGrid w:val="0"/>
        <w:spacing w:line="360" w:lineRule="auto"/>
        <w:ind w:firstLine="480" w:firstLineChars="200"/>
        <w:rPr>
          <w:rFonts w:ascii="宋体" w:cs="宋体"/>
          <w:kern w:val="0"/>
          <w:sz w:val="24"/>
          <w:szCs w:val="24"/>
        </w:rPr>
      </w:pPr>
      <w:r>
        <w:rPr>
          <w:rFonts w:hint="eastAsia" w:ascii="宋体" w:hAnsi="宋体" w:cs="宋体"/>
          <w:kern w:val="0"/>
          <w:sz w:val="24"/>
          <w:szCs w:val="24"/>
        </w:rPr>
        <w:t>顺德区检察院抓住法律监督根本属性</w:t>
      </w:r>
      <w:r>
        <w:rPr>
          <w:rFonts w:ascii="宋体" w:cs="宋体"/>
          <w:kern w:val="0"/>
          <w:sz w:val="24"/>
          <w:szCs w:val="24"/>
          <w:vertAlign w:val="superscript"/>
        </w:rPr>
        <w:footnoteReference w:id="9"/>
      </w:r>
      <w:r>
        <w:rPr>
          <w:rFonts w:hint="eastAsia" w:ascii="宋体" w:hAnsi="宋体" w:cs="宋体"/>
          <w:kern w:val="0"/>
          <w:sz w:val="24"/>
          <w:szCs w:val="24"/>
        </w:rPr>
        <w:t>，遵循行政检察的基本原则，保持行政检察工作开展过程中运用权力的谦抑性。</w:t>
      </w:r>
    </w:p>
    <w:p>
      <w:pPr>
        <w:pStyle w:val="4"/>
        <w:widowControl/>
        <w:adjustRightInd w:val="0"/>
        <w:snapToGrid w:val="0"/>
        <w:spacing w:line="360" w:lineRule="auto"/>
        <w:ind w:firstLine="480" w:firstLineChars="200"/>
        <w:jc w:val="both"/>
        <w:rPr>
          <w:rFonts w:ascii="宋体" w:cs="宋体"/>
        </w:rPr>
      </w:pPr>
      <w:r>
        <w:rPr>
          <w:rFonts w:hint="eastAsia" w:ascii="宋体" w:hAnsi="宋体" w:cs="宋体"/>
        </w:rPr>
        <w:t>必要性原则。检察机关在推进工作时必须要确定所选择的方法在保护公共利益、社会利益的同时尽可能减少对特定群体利益的损害。同时，监督行政权依法行使的行政监察体系亦渐趋完善，行政检察监督要与其他监督权进行明确的区分。只有出现了检察机关必须进行监督的事由时，才能够按照规定依职权或者依申请启动行政检察程序。</w:t>
      </w:r>
    </w:p>
    <w:p>
      <w:pPr>
        <w:pStyle w:val="4"/>
        <w:widowControl/>
        <w:adjustRightInd w:val="0"/>
        <w:snapToGrid w:val="0"/>
        <w:spacing w:line="360" w:lineRule="auto"/>
        <w:ind w:firstLine="480" w:firstLineChars="200"/>
        <w:jc w:val="both"/>
        <w:rPr>
          <w:rFonts w:ascii="宋体" w:cs="宋体"/>
        </w:rPr>
      </w:pPr>
      <w:r>
        <w:rPr>
          <w:rFonts w:hint="eastAsia" w:ascii="宋体" w:hAnsi="宋体" w:cs="宋体"/>
        </w:rPr>
        <w:t>适度性原则。检察机关的监督绝不等同于用权力控制权力，检察权、行政权、审判权并非相互牵绊、相互压制，否则就背离了行政检察的初衷。检察机关一方面要尊重法院的司法行为与行政机关的行政行为，不能自我授权进行过分干预，另一方面，要与法院、行政机关进行沟通协调，形成相互制约与良性互动的关系</w:t>
      </w:r>
      <w:r>
        <w:rPr>
          <w:rFonts w:ascii="宋体" w:cs="宋体"/>
          <w:vertAlign w:val="superscript"/>
        </w:rPr>
        <w:footnoteReference w:id="10"/>
      </w:r>
      <w:r>
        <w:rPr>
          <w:rFonts w:hint="eastAsia" w:ascii="宋体" w:hAnsi="宋体" w:cs="宋体"/>
        </w:rPr>
        <w:t>。</w:t>
      </w:r>
    </w:p>
    <w:p>
      <w:pPr>
        <w:adjustRightInd w:val="0"/>
        <w:snapToGrid w:val="0"/>
        <w:spacing w:line="360" w:lineRule="auto"/>
        <w:ind w:firstLine="480" w:firstLineChars="200"/>
        <w:rPr>
          <w:rFonts w:ascii="宋体" w:cs="宋体"/>
          <w:kern w:val="0"/>
          <w:sz w:val="24"/>
          <w:szCs w:val="24"/>
        </w:rPr>
      </w:pPr>
      <w:r>
        <w:rPr>
          <w:rFonts w:hint="eastAsia" w:ascii="宋体" w:hAnsi="宋体" w:cs="宋体"/>
          <w:kern w:val="0"/>
          <w:sz w:val="24"/>
          <w:szCs w:val="24"/>
        </w:rPr>
        <w:t>独立性原则。一方面，某些地区的检察机关在财政、人事上仍然与地方政府具有许多关联，影响了其独立性，另一方面，某些被监督的部门基于维护自身权威、不想被起诉等原因，干预检察机关行使职权，甚至给检察机关一定的压力。检察机关必须坚持独立性原则，让人民群众在每一个行政检察案件中都感受到公平正义。</w:t>
      </w:r>
    </w:p>
    <w:p>
      <w:pPr>
        <w:pStyle w:val="4"/>
        <w:shd w:val="clear" w:color="auto" w:fill="FFFFFF"/>
        <w:adjustRightInd w:val="0"/>
        <w:snapToGrid w:val="0"/>
        <w:spacing w:line="360" w:lineRule="auto"/>
        <w:ind w:firstLine="560" w:firstLineChars="200"/>
        <w:jc w:val="both"/>
        <w:rPr>
          <w:rFonts w:ascii="黑体" w:hAnsi="黑体" w:eastAsia="黑体" w:cs="Times New Roman"/>
          <w:sz w:val="28"/>
          <w:szCs w:val="28"/>
        </w:rPr>
      </w:pPr>
      <w:r>
        <w:rPr>
          <w:rFonts w:hint="eastAsia" w:ascii="黑体" w:hAnsi="黑体" w:eastAsia="黑体" w:cs="黑体"/>
          <w:sz w:val="28"/>
          <w:szCs w:val="28"/>
        </w:rPr>
        <w:t>（二）整合力量：构建大行政检察格局</w:t>
      </w:r>
    </w:p>
    <w:p>
      <w:pPr>
        <w:adjustRightInd w:val="0"/>
        <w:snapToGrid w:val="0"/>
        <w:spacing w:line="360" w:lineRule="auto"/>
        <w:ind w:firstLine="480" w:firstLineChars="200"/>
        <w:rPr>
          <w:rFonts w:ascii="宋体" w:cs="宋体"/>
          <w:kern w:val="0"/>
          <w:sz w:val="24"/>
          <w:szCs w:val="24"/>
        </w:rPr>
      </w:pPr>
      <w:r>
        <w:rPr>
          <w:rFonts w:ascii="黑体" w:hAnsi="黑体" w:eastAsia="黑体" w:cs="黑体"/>
          <w:kern w:val="0"/>
          <w:sz w:val="24"/>
          <w:szCs w:val="24"/>
        </w:rPr>
        <w:t>1</w:t>
      </w:r>
      <w:r>
        <w:rPr>
          <w:rFonts w:hint="eastAsia" w:ascii="黑体" w:hAnsi="黑体" w:eastAsia="黑体" w:cs="黑体"/>
          <w:kern w:val="0"/>
          <w:sz w:val="24"/>
          <w:szCs w:val="24"/>
        </w:rPr>
        <w:t>、加强组织领导。</w:t>
      </w:r>
      <w:r>
        <w:rPr>
          <w:rFonts w:hint="eastAsia" w:ascii="宋体" w:hAnsi="宋体" w:cs="宋体"/>
          <w:kern w:val="0"/>
          <w:sz w:val="24"/>
          <w:szCs w:val="24"/>
        </w:rPr>
        <w:t>为顺利推动行政检察工作有序开展，顺德区检察院成立了行政检察工作领导小组。领导小组由检察长任组长，由各分管检察长任副组长，成员由民事行政检察、侦查监督、公诉、诉讼监督以及镇街检察室等相关部门负责人共同组成，为行政检察工作的开展奠定了基石。</w:t>
      </w:r>
    </w:p>
    <w:p>
      <w:pPr>
        <w:adjustRightInd w:val="0"/>
        <w:snapToGrid w:val="0"/>
        <w:spacing w:line="360" w:lineRule="auto"/>
        <w:ind w:firstLine="480" w:firstLineChars="200"/>
        <w:rPr>
          <w:rFonts w:ascii="宋体" w:cs="宋体"/>
          <w:kern w:val="0"/>
          <w:sz w:val="24"/>
          <w:szCs w:val="24"/>
        </w:rPr>
      </w:pPr>
      <w:r>
        <w:rPr>
          <w:rFonts w:ascii="黑体" w:hAnsi="黑体" w:eastAsia="黑体" w:cs="黑体"/>
          <w:kern w:val="0"/>
          <w:sz w:val="24"/>
          <w:szCs w:val="24"/>
        </w:rPr>
        <w:t>2</w:t>
      </w:r>
      <w:r>
        <w:rPr>
          <w:rFonts w:hint="eastAsia" w:ascii="黑体" w:hAnsi="黑体" w:eastAsia="黑体" w:cs="黑体"/>
          <w:kern w:val="0"/>
          <w:sz w:val="24"/>
          <w:szCs w:val="24"/>
        </w:rPr>
        <w:t>、优化队伍建设。</w:t>
      </w:r>
      <w:r>
        <w:rPr>
          <w:rFonts w:hint="eastAsia" w:ascii="宋体" w:hAnsi="宋体" w:cs="宋体"/>
          <w:kern w:val="0"/>
          <w:sz w:val="24"/>
          <w:szCs w:val="24"/>
        </w:rPr>
        <w:t>在院党组大力支持下，该院在</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9</w:t>
      </w:r>
      <w:r>
        <w:rPr>
          <w:rFonts w:hint="eastAsia" w:ascii="宋体" w:hAnsi="宋体" w:cs="宋体"/>
          <w:kern w:val="0"/>
          <w:sz w:val="24"/>
          <w:szCs w:val="24"/>
        </w:rPr>
        <w:t>月推行的内设机构改革中，将民事行政检察工作独立出来专设民事行政检察部，并配备充足的人员组成强大的队伍，推动了队伍的四化建设</w:t>
      </w:r>
      <w:r>
        <w:rPr>
          <w:rStyle w:val="7"/>
          <w:sz w:val="24"/>
          <w:szCs w:val="24"/>
        </w:rPr>
        <w:footnoteReference w:id="11"/>
      </w:r>
      <w:r>
        <w:rPr>
          <w:rFonts w:hint="eastAsia" w:ascii="宋体" w:hAnsi="宋体" w:cs="宋体"/>
          <w:kern w:val="0"/>
          <w:sz w:val="24"/>
          <w:szCs w:val="24"/>
        </w:rPr>
        <w:t>。</w:t>
      </w:r>
      <w:r>
        <w:rPr>
          <w:rFonts w:ascii="宋体" w:hAnsi="宋体" w:cs="宋体"/>
          <w:kern w:val="0"/>
          <w:sz w:val="24"/>
          <w:szCs w:val="24"/>
        </w:rPr>
        <w:t xml:space="preserve">     </w:t>
      </w:r>
    </w:p>
    <w:p>
      <w:pPr>
        <w:adjustRightInd w:val="0"/>
        <w:snapToGrid w:val="0"/>
        <w:spacing w:line="360" w:lineRule="auto"/>
        <w:ind w:firstLine="480" w:firstLineChars="200"/>
        <w:rPr>
          <w:rFonts w:ascii="宋体" w:cs="宋体"/>
          <w:kern w:val="0"/>
          <w:sz w:val="24"/>
          <w:szCs w:val="24"/>
        </w:rPr>
      </w:pPr>
      <w:r>
        <w:rPr>
          <w:rFonts w:hint="eastAsia" w:ascii="宋体" w:hAnsi="宋体" w:cs="宋体"/>
          <w:kern w:val="0"/>
          <w:sz w:val="24"/>
          <w:szCs w:val="24"/>
        </w:rPr>
        <w:t>民事行政检察部自成立后主动作为，建立了相对的专业化分工。既对传统民事行政诉讼监督与新的违法行政监督业务进行了分工，又根据行政公益诉讼所涉四个领域进行分工，并结合联系对接镇街检察室，对工作片区作相对分工。</w:t>
      </w:r>
    </w:p>
    <w:p>
      <w:pPr>
        <w:adjustRightInd w:val="0"/>
        <w:snapToGrid w:val="0"/>
        <w:spacing w:line="360" w:lineRule="auto"/>
        <w:ind w:firstLine="480" w:firstLineChars="200"/>
        <w:rPr>
          <w:rFonts w:ascii="黑体" w:hAnsi="黑体" w:eastAsia="黑体" w:cs="Times New Roman"/>
          <w:kern w:val="0"/>
          <w:sz w:val="24"/>
          <w:szCs w:val="24"/>
        </w:rPr>
      </w:pPr>
      <w:r>
        <w:rPr>
          <w:rFonts w:ascii="黑体" w:hAnsi="黑体" w:eastAsia="黑体" w:cs="黑体"/>
          <w:kern w:val="0"/>
          <w:sz w:val="24"/>
          <w:szCs w:val="24"/>
        </w:rPr>
        <w:t>3</w:t>
      </w:r>
      <w:r>
        <w:rPr>
          <w:rFonts w:hint="eastAsia" w:ascii="黑体" w:hAnsi="黑体" w:eastAsia="黑体" w:cs="黑体"/>
          <w:kern w:val="0"/>
          <w:sz w:val="24"/>
          <w:szCs w:val="24"/>
        </w:rPr>
        <w:t>、争取上级支持</w:t>
      </w:r>
    </w:p>
    <w:p>
      <w:pPr>
        <w:adjustRightInd w:val="0"/>
        <w:snapToGrid w:val="0"/>
        <w:spacing w:line="360" w:lineRule="auto"/>
        <w:ind w:firstLine="480" w:firstLineChars="200"/>
        <w:rPr>
          <w:rFonts w:ascii="宋体" w:cs="宋体"/>
          <w:kern w:val="0"/>
          <w:sz w:val="24"/>
          <w:szCs w:val="24"/>
        </w:rPr>
      </w:pPr>
      <w:r>
        <w:rPr>
          <w:rFonts w:hint="eastAsia" w:ascii="宋体" w:hAnsi="宋体" w:cs="宋体"/>
          <w:kern w:val="0"/>
          <w:sz w:val="24"/>
          <w:szCs w:val="24"/>
        </w:rPr>
        <w:t>该院定期把行政检察工作的阶段性成果以及所获得的社会效果，对案件查办过程中遇到的困难向上级及时请示汇报，争取上级的有力支持。上级也多次前来指导品牌创建工作，并在业务培训机会的调配、业务水平的指导等方面提供强有力的支持，提高了该院行政检察工作的效率，推动了行政检察品牌的创建进程。</w:t>
      </w:r>
    </w:p>
    <w:p>
      <w:pPr>
        <w:adjustRightInd w:val="0"/>
        <w:snapToGrid w:val="0"/>
        <w:spacing w:line="360" w:lineRule="auto"/>
        <w:ind w:firstLine="480" w:firstLineChars="200"/>
        <w:rPr>
          <w:rFonts w:ascii="黑体" w:hAnsi="黑体" w:eastAsia="黑体" w:cs="Times New Roman"/>
          <w:kern w:val="0"/>
          <w:sz w:val="24"/>
          <w:szCs w:val="24"/>
        </w:rPr>
      </w:pPr>
      <w:r>
        <w:rPr>
          <w:rFonts w:ascii="黑体" w:hAnsi="黑体" w:eastAsia="黑体" w:cs="黑体"/>
          <w:kern w:val="0"/>
          <w:sz w:val="24"/>
          <w:szCs w:val="24"/>
        </w:rPr>
        <w:t>4</w:t>
      </w:r>
      <w:r>
        <w:rPr>
          <w:rFonts w:hint="eastAsia" w:ascii="黑体" w:hAnsi="黑体" w:eastAsia="黑体" w:cs="黑体"/>
          <w:kern w:val="0"/>
          <w:sz w:val="24"/>
          <w:szCs w:val="24"/>
        </w:rPr>
        <w:t>、统筹全院力量</w:t>
      </w:r>
    </w:p>
    <w:p>
      <w:pPr>
        <w:adjustRightInd w:val="0"/>
        <w:snapToGrid w:val="0"/>
        <w:spacing w:line="360" w:lineRule="auto"/>
        <w:ind w:firstLine="480" w:firstLineChars="200"/>
        <w:rPr>
          <w:rFonts w:ascii="宋体" w:cs="宋体"/>
          <w:kern w:val="0"/>
          <w:sz w:val="24"/>
          <w:szCs w:val="24"/>
        </w:rPr>
      </w:pPr>
      <w:r>
        <w:rPr>
          <w:rFonts w:hint="eastAsia" w:ascii="宋体" w:hAnsi="宋体" w:cs="宋体"/>
          <w:kern w:val="0"/>
          <w:sz w:val="24"/>
          <w:szCs w:val="24"/>
        </w:rPr>
        <w:t>该院逐步构建全院联动的大行政检察格局，强化内部协作。在品牌成立之初，制定行政检察工作方案并在全院内实行，各部门人员均按照方案的总体部署与要求开展工作，加强行政检察案件线索在各部门间的流转，提升了各部门工作人员的协作力度。近期，还就行政检察重点</w:t>
      </w:r>
      <w:r>
        <w:rPr>
          <w:rFonts w:ascii="宋体" w:hAnsi="宋体" w:cs="宋体"/>
          <w:kern w:val="0"/>
          <w:sz w:val="24"/>
          <w:szCs w:val="24"/>
        </w:rPr>
        <w:t>——</w:t>
      </w:r>
      <w:r>
        <w:rPr>
          <w:rFonts w:hint="eastAsia" w:ascii="宋体" w:hAnsi="宋体" w:cs="宋体"/>
          <w:kern w:val="0"/>
          <w:sz w:val="24"/>
          <w:szCs w:val="24"/>
        </w:rPr>
        <w:t>公益诉讼工作制定了《佛山市顺德区人民检察院各部门参与公益诉讼工作指引》</w:t>
      </w:r>
      <w:r>
        <w:rPr>
          <w:rStyle w:val="7"/>
          <w:sz w:val="24"/>
          <w:szCs w:val="24"/>
        </w:rPr>
        <w:footnoteReference w:id="12"/>
      </w:r>
      <w:r>
        <w:rPr>
          <w:rFonts w:hint="eastAsia" w:ascii="宋体" w:hAnsi="宋体" w:cs="宋体"/>
          <w:kern w:val="0"/>
          <w:sz w:val="24"/>
          <w:szCs w:val="24"/>
        </w:rPr>
        <w:t>，完善各部门与民事行政检察部关于案件线索移送、信息共享、协同办案等配合机制，畅通内部线索来源渠道，切实提高了行政检察案件办案质量和效率。为了更好地在公益诉讼工作中发挥各自的力量，公诉部、检察室等部门积极邀请民行部员额检察官为其讲解公益诉讼相关知识，通过深入浅出的讲解，全院人员均对公益诉讼有了一个全新的认识。除此外，各部门均根据行政检察工作开展的要求调整绩效指标，让绩效考核更能体现实际工作的价值。</w:t>
      </w:r>
    </w:p>
    <w:p>
      <w:pPr>
        <w:adjustRightInd w:val="0"/>
        <w:snapToGrid w:val="0"/>
        <w:spacing w:line="360" w:lineRule="auto"/>
        <w:ind w:firstLine="480" w:firstLineChars="200"/>
        <w:rPr>
          <w:rFonts w:ascii="黑体" w:hAnsi="黑体" w:eastAsia="黑体" w:cs="Times New Roman"/>
          <w:kern w:val="0"/>
          <w:sz w:val="24"/>
          <w:szCs w:val="24"/>
        </w:rPr>
      </w:pPr>
      <w:r>
        <w:rPr>
          <w:rFonts w:ascii="黑体" w:hAnsi="黑体" w:eastAsia="黑体" w:cs="黑体"/>
          <w:kern w:val="0"/>
          <w:sz w:val="24"/>
          <w:szCs w:val="24"/>
        </w:rPr>
        <w:t>5</w:t>
      </w:r>
      <w:r>
        <w:rPr>
          <w:rFonts w:hint="eastAsia" w:ascii="黑体" w:hAnsi="黑体" w:eastAsia="黑体" w:cs="黑体"/>
          <w:kern w:val="0"/>
          <w:sz w:val="24"/>
          <w:szCs w:val="24"/>
        </w:rPr>
        <w:t>、争取外部支持</w:t>
      </w:r>
    </w:p>
    <w:p>
      <w:pPr>
        <w:adjustRightInd w:val="0"/>
        <w:snapToGrid w:val="0"/>
        <w:spacing w:line="360" w:lineRule="auto"/>
        <w:ind w:firstLine="480" w:firstLineChars="200"/>
        <w:rPr>
          <w:rFonts w:ascii="宋体" w:cs="宋体"/>
          <w:kern w:val="0"/>
          <w:sz w:val="24"/>
          <w:szCs w:val="24"/>
        </w:rPr>
      </w:pPr>
      <w:r>
        <w:rPr>
          <w:rFonts w:hint="eastAsia" w:ascii="宋体" w:hAnsi="宋体" w:cs="宋体"/>
          <w:kern w:val="0"/>
          <w:sz w:val="24"/>
          <w:szCs w:val="24"/>
        </w:rPr>
        <w:t>该院积极与外单位搭建工作衔接平台，破解了线索发现难、信息不共享、沟通不畅通的困境。曾多次与区法院行政庭进行座谈并调研，双方于</w:t>
      </w:r>
      <w:r>
        <w:rPr>
          <w:rFonts w:ascii="宋体" w:hAnsi="宋体" w:cs="宋体"/>
          <w:kern w:val="0"/>
          <w:sz w:val="24"/>
          <w:szCs w:val="24"/>
        </w:rPr>
        <w:t>2017</w:t>
      </w:r>
      <w:r>
        <w:rPr>
          <w:rFonts w:hint="eastAsia" w:ascii="宋体" w:hAnsi="宋体" w:cs="宋体"/>
          <w:kern w:val="0"/>
          <w:sz w:val="24"/>
          <w:szCs w:val="24"/>
        </w:rPr>
        <w:t>年还联合印发《关于办理行政公益诉讼案件会议纪要》，对行政公益诉讼案件办理中部分协调对接机制进行了明确，为下一步工作推进打好基础，同时，还积极走访区纪委、政法委、法制办等多部门，加强与相关部门间的监督协作机制，争取更多的理解、配合与支持。</w:t>
      </w:r>
    </w:p>
    <w:p>
      <w:pPr>
        <w:pStyle w:val="4"/>
        <w:shd w:val="clear" w:color="auto" w:fill="FFFFFF"/>
        <w:adjustRightInd w:val="0"/>
        <w:snapToGrid w:val="0"/>
        <w:spacing w:line="360" w:lineRule="auto"/>
        <w:ind w:firstLine="560" w:firstLineChars="200"/>
        <w:jc w:val="both"/>
        <w:rPr>
          <w:rFonts w:ascii="黑体" w:hAnsi="黑体" w:eastAsia="黑体" w:cs="Times New Roman"/>
          <w:sz w:val="28"/>
          <w:szCs w:val="28"/>
        </w:rPr>
      </w:pPr>
      <w:r>
        <w:rPr>
          <w:rFonts w:hint="eastAsia" w:ascii="黑体" w:hAnsi="黑体" w:eastAsia="黑体" w:cs="黑体"/>
          <w:sz w:val="28"/>
          <w:szCs w:val="28"/>
        </w:rPr>
        <w:t>（三）健全机制：规范行政检察工作的开展</w:t>
      </w:r>
    </w:p>
    <w:p>
      <w:pPr>
        <w:adjustRightInd w:val="0"/>
        <w:snapToGrid w:val="0"/>
        <w:spacing w:line="360" w:lineRule="auto"/>
        <w:ind w:firstLine="480" w:firstLineChars="200"/>
        <w:rPr>
          <w:rFonts w:ascii="宋体" w:cs="宋体"/>
          <w:sz w:val="24"/>
          <w:szCs w:val="24"/>
        </w:rPr>
      </w:pPr>
      <w:r>
        <w:rPr>
          <w:rFonts w:hint="eastAsia" w:ascii="宋体" w:hAnsi="宋体" w:cs="宋体"/>
          <w:kern w:val="0"/>
          <w:sz w:val="24"/>
          <w:szCs w:val="24"/>
        </w:rPr>
        <w:t>为了使工作开展更具规范性与严谨性，该院制定了《案件命名规则》、《办理行政公益诉讼案件流程图》等文件</w:t>
      </w:r>
      <w:r>
        <w:rPr>
          <w:rStyle w:val="7"/>
          <w:sz w:val="24"/>
          <w:szCs w:val="24"/>
        </w:rPr>
        <w:footnoteReference w:id="13"/>
      </w:r>
      <w:r>
        <w:rPr>
          <w:rFonts w:hint="eastAsia" w:ascii="宋体" w:hAnsi="宋体" w:cs="宋体"/>
          <w:kern w:val="0"/>
          <w:sz w:val="24"/>
          <w:szCs w:val="24"/>
        </w:rPr>
        <w:t>，既规范了检察官的办案行为，又保证了案件办理方式的标准性与统一性，确保了同一性质的案件用同一种监督方式办结，实效性较强的规章制度促使了工作向更高层次提升。除此外，针对线索来源与搜集这一薄弱但重要的环节，该院研究制定了《行政公益诉讼案件线索管理机制》，切实解决了线索来源渠道狭窄、线索整理分类混乱、分配不均等问题。同时，</w:t>
      </w:r>
    </w:p>
    <w:p>
      <w:pPr>
        <w:pStyle w:val="4"/>
        <w:widowControl/>
        <w:adjustRightInd w:val="0"/>
        <w:snapToGrid w:val="0"/>
        <w:spacing w:line="360" w:lineRule="auto"/>
        <w:ind w:firstLine="480" w:firstLineChars="200"/>
        <w:jc w:val="both"/>
        <w:rPr>
          <w:rFonts w:ascii="宋体" w:cs="宋体"/>
        </w:rPr>
      </w:pPr>
      <w:r>
        <w:rPr>
          <w:rFonts w:hint="eastAsia" w:ascii="宋体" w:hAnsi="宋体" w:cs="宋体"/>
        </w:rPr>
        <w:t>针对督促落实这一后续跟进环节容易出现懈怠的问题，该院研究制定了《案件后续跟进督促办法》，通过对每个案件进行详细的跟踪，使每个案件真正达到了其办理的目的</w:t>
      </w:r>
    </w:p>
    <w:p>
      <w:pPr>
        <w:pStyle w:val="4"/>
        <w:shd w:val="clear" w:color="auto" w:fill="FFFFFF"/>
        <w:adjustRightInd w:val="0"/>
        <w:snapToGrid w:val="0"/>
        <w:spacing w:line="360" w:lineRule="auto"/>
        <w:ind w:firstLine="560" w:firstLineChars="200"/>
        <w:jc w:val="both"/>
        <w:rPr>
          <w:rFonts w:ascii="黑体" w:hAnsi="黑体" w:eastAsia="黑体" w:cs="Times New Roman"/>
          <w:sz w:val="28"/>
          <w:szCs w:val="28"/>
        </w:rPr>
      </w:pPr>
      <w:r>
        <w:rPr>
          <w:rFonts w:hint="eastAsia" w:ascii="黑体" w:hAnsi="黑体" w:eastAsia="黑体" w:cs="黑体"/>
          <w:sz w:val="28"/>
          <w:szCs w:val="28"/>
        </w:rPr>
        <w:t>（四）注重宣传：扩大行政检察影响力</w:t>
      </w:r>
    </w:p>
    <w:p>
      <w:pPr>
        <w:pStyle w:val="4"/>
        <w:widowControl/>
        <w:adjustRightInd w:val="0"/>
        <w:snapToGrid w:val="0"/>
        <w:spacing w:line="360" w:lineRule="auto"/>
        <w:ind w:firstLine="480" w:firstLineChars="200"/>
        <w:jc w:val="both"/>
        <w:rPr>
          <w:rFonts w:ascii="宋体" w:cs="宋体"/>
        </w:rPr>
      </w:pPr>
      <w:r>
        <w:rPr>
          <w:rFonts w:hint="eastAsia" w:ascii="宋体" w:hAnsi="宋体" w:cs="宋体"/>
        </w:rPr>
        <w:t>该院坚持边办案、边宣传，加强行政检察宣传工作，切实提升品牌的社会认知度。一是积极与本院办公室公共关系中心合作，通过官方微信微博对行政检察进行广泛传播。二是借助检察室的力量如放置公益诉讼漫画宣传册、宣传栏宣传等方式进行宣传。三是与新闻媒体合作。媒体及时对行政检察突出案例、行政检察品牌的创建过程等内容进行报道，同时，对于群众提供的“报料线索”，媒体也积极移送给检察机关及时跟进。</w:t>
      </w:r>
    </w:p>
    <w:p>
      <w:pPr>
        <w:pStyle w:val="4"/>
        <w:widowControl/>
        <w:adjustRightInd w:val="0"/>
        <w:snapToGrid w:val="0"/>
        <w:spacing w:line="360" w:lineRule="auto"/>
        <w:ind w:firstLine="600" w:firstLineChars="200"/>
        <w:jc w:val="both"/>
        <w:rPr>
          <w:rFonts w:ascii="黑体" w:hAnsi="黑体" w:eastAsia="黑体" w:cs="Times New Roman"/>
          <w:sz w:val="30"/>
          <w:szCs w:val="30"/>
        </w:rPr>
      </w:pPr>
      <w:r>
        <w:rPr>
          <w:rFonts w:hint="eastAsia" w:ascii="黑体" w:hAnsi="黑体" w:eastAsia="黑体" w:cs="黑体"/>
          <w:sz w:val="30"/>
          <w:szCs w:val="30"/>
        </w:rPr>
        <w:t>四、进一步推进行政检察监督的展望</w:t>
      </w:r>
    </w:p>
    <w:p>
      <w:pPr>
        <w:pStyle w:val="4"/>
        <w:widowControl/>
        <w:adjustRightInd w:val="0"/>
        <w:snapToGrid w:val="0"/>
        <w:spacing w:line="360" w:lineRule="auto"/>
        <w:ind w:firstLine="480" w:firstLineChars="200"/>
        <w:jc w:val="both"/>
        <w:rPr>
          <w:rFonts w:ascii="宋体" w:cs="宋体"/>
        </w:rPr>
      </w:pPr>
      <w:r>
        <w:rPr>
          <w:rFonts w:hint="eastAsia" w:ascii="宋体" w:hAnsi="宋体" w:cs="宋体"/>
        </w:rPr>
        <w:t>各检察机关对行政检察工作的积极探索与实践都为建立与完善行政检察体系提供了宝贵的经验，下一步我们应当继续寻找方法继续解决行政检察工作中的难题，并在实践中继续发现问题，总结经验，推动行政检察的不断发展。</w:t>
      </w:r>
    </w:p>
    <w:p>
      <w:pPr>
        <w:pStyle w:val="2"/>
        <w:widowControl/>
        <w:adjustRightInd w:val="0"/>
        <w:snapToGrid w:val="0"/>
        <w:spacing w:beforeAutospacing="0" w:afterAutospacing="0" w:line="360" w:lineRule="auto"/>
        <w:ind w:firstLine="482" w:firstLineChars="200"/>
        <w:jc w:val="both"/>
        <w:rPr>
          <w:rFonts w:cs="Times New Roman"/>
          <w:b w:val="0"/>
          <w:bCs w:val="0"/>
          <w:sz w:val="24"/>
          <w:szCs w:val="24"/>
        </w:rPr>
      </w:pPr>
      <w:r>
        <w:rPr>
          <w:rFonts w:hint="eastAsia"/>
          <w:sz w:val="24"/>
          <w:szCs w:val="24"/>
        </w:rPr>
        <w:t>首先，要让行政检察工作的开展具有更充足的法律依据。</w:t>
      </w:r>
      <w:r>
        <w:rPr>
          <w:rFonts w:hint="eastAsia"/>
          <w:b w:val="0"/>
          <w:bCs w:val="0"/>
          <w:sz w:val="24"/>
          <w:szCs w:val="24"/>
        </w:rPr>
        <w:t>在立法层面上逐步扩宽监督领域，将法律监督的触角延伸至行政执法，乃至规范性文件制定领域，在依法治国的语境下，不仅是水到渠成，而且是十分必要的。</w:t>
      </w:r>
      <w:r>
        <w:rPr>
          <w:rStyle w:val="7"/>
          <w:b w:val="0"/>
          <w:bCs w:val="0"/>
          <w:sz w:val="24"/>
          <w:szCs w:val="24"/>
        </w:rPr>
        <w:footnoteReference w:id="14"/>
      </w:r>
      <w:r>
        <w:rPr>
          <w:rFonts w:hint="eastAsia"/>
          <w:b w:val="0"/>
          <w:bCs w:val="0"/>
          <w:sz w:val="24"/>
          <w:szCs w:val="24"/>
        </w:rPr>
        <w:t>首先，检察院组织法的修改迫在眉睫。《中华人民共和国人民检察院组织法（修订草案）》（</w:t>
      </w:r>
      <w:r>
        <w:rPr>
          <w:b w:val="0"/>
          <w:bCs w:val="0"/>
          <w:sz w:val="24"/>
          <w:szCs w:val="24"/>
        </w:rPr>
        <w:t>2017</w:t>
      </w:r>
      <w:r>
        <w:rPr>
          <w:rFonts w:hint="eastAsia"/>
          <w:b w:val="0"/>
          <w:bCs w:val="0"/>
          <w:sz w:val="24"/>
          <w:szCs w:val="24"/>
        </w:rPr>
        <w:t>年</w:t>
      </w:r>
      <w:r>
        <w:rPr>
          <w:b w:val="0"/>
          <w:bCs w:val="0"/>
          <w:sz w:val="24"/>
          <w:szCs w:val="24"/>
        </w:rPr>
        <w:t>8</w:t>
      </w:r>
      <w:r>
        <w:rPr>
          <w:rFonts w:hint="eastAsia"/>
          <w:b w:val="0"/>
          <w:bCs w:val="0"/>
          <w:sz w:val="24"/>
          <w:szCs w:val="24"/>
        </w:rPr>
        <w:t>月</w:t>
      </w:r>
      <w:r>
        <w:rPr>
          <w:b w:val="0"/>
          <w:bCs w:val="0"/>
          <w:sz w:val="24"/>
          <w:szCs w:val="24"/>
        </w:rPr>
        <w:t>18</w:t>
      </w:r>
      <w:r>
        <w:rPr>
          <w:rFonts w:hint="eastAsia"/>
          <w:b w:val="0"/>
          <w:bCs w:val="0"/>
          <w:sz w:val="24"/>
          <w:szCs w:val="24"/>
        </w:rPr>
        <w:t>日稿）第十二条明确了人民检察院提起公益诉讼的职权，此外，第三条还规定了人民检察院可以依法监督国家机关及其工作人员行使职权，尽管上述条文仅是修订草案的规定且未对行政检察除公益诉讼外的其他职权范围进行明确，但仍具有重要的意义。其次，将行政检察放置于行政法体系中。将行政检察制度真正回归到行政法体系中，受行政法的基本原则规制，并对制度的范围、内容、程序等作出相关权威性规定，既有助于解决制度“横梁断裂”的问题，又能使检察机关准确把握监督属性，防止偏离监督本位。最后，还要解决行政检察配套机制的问题，行政检察要想够发挥出其作用的最大值，刚性配套机制的建立与完善具有重要的保障作用。</w:t>
      </w:r>
    </w:p>
    <w:p>
      <w:pPr>
        <w:pStyle w:val="2"/>
        <w:widowControl/>
        <w:adjustRightInd w:val="0"/>
        <w:snapToGrid w:val="0"/>
        <w:spacing w:beforeAutospacing="0" w:afterAutospacing="0" w:line="360" w:lineRule="auto"/>
        <w:ind w:firstLine="482" w:firstLineChars="200"/>
        <w:jc w:val="both"/>
        <w:rPr>
          <w:rFonts w:cs="Times New Roman"/>
          <w:b w:val="0"/>
          <w:bCs w:val="0"/>
          <w:sz w:val="24"/>
          <w:szCs w:val="24"/>
        </w:rPr>
      </w:pPr>
      <w:r>
        <w:rPr>
          <w:rFonts w:hint="eastAsia"/>
          <w:sz w:val="24"/>
          <w:szCs w:val="24"/>
        </w:rPr>
        <w:t>其次，要转变司法理念，增强工作开展的积极性。</w:t>
      </w:r>
      <w:r>
        <w:rPr>
          <w:rFonts w:hint="eastAsia"/>
          <w:b w:val="0"/>
          <w:bCs w:val="0"/>
          <w:sz w:val="24"/>
          <w:szCs w:val="24"/>
        </w:rPr>
        <w:t>检察人员必须改变过去“轻行政”的思想，全面把握行政检察制度并主动作为，改变过去民行部门被动等待案件的状况，积极在履职中发现案件线索、积极调查取证，争取办理一批具有影响、成效显著的典型案例。同时，要通过培训、交流等多种方式补齐知识短板、学习先进经验，梳理监督思路，内强综合素质。</w:t>
      </w:r>
    </w:p>
    <w:p>
      <w:pPr>
        <w:pStyle w:val="4"/>
        <w:widowControl/>
        <w:adjustRightInd w:val="0"/>
        <w:snapToGrid w:val="0"/>
        <w:spacing w:line="360" w:lineRule="auto"/>
        <w:ind w:firstLine="482" w:firstLineChars="200"/>
        <w:jc w:val="both"/>
        <w:rPr>
          <w:rFonts w:ascii="宋体" w:cs="宋体"/>
        </w:rPr>
      </w:pPr>
      <w:r>
        <w:rPr>
          <w:rFonts w:hint="eastAsia" w:ascii="宋体" w:hAnsi="宋体" w:cs="宋体"/>
          <w:b/>
          <w:bCs/>
        </w:rPr>
        <w:t>最后，要重视平台搭建，集聚监督合力。</w:t>
      </w:r>
      <w:r>
        <w:rPr>
          <w:rFonts w:hint="eastAsia" w:ascii="宋体" w:hAnsi="宋体" w:cs="宋体"/>
        </w:rPr>
        <w:t>与其他检察机关尽快搭建信息对接平台，包括上级院的指导平台和与其他地区检察机关的交流平台，实现检察机关行政检察工作内部一体化。在争取地方党委、人大支持的基础下，与法院、行政机关搭建协助配合平台，规范移送线索、立案备案、案件效果跟进等行为。与其他行政监督者搭建共享平台，各主体明确分工，逐渐形成行政权力监督有效体制。与专家学者搭建专业咨询平台，建立咨询专家库并建立相关管理机制，根据行政检察工作开展所涉的领域分别邀请专家进行及时回答，使承办人的专业咨询问题有统一且及时的解决途径。搭建行政执法与行政检察的衔接平台，实现信息共享，共同促进依法行政，提高政府治理能力，加快法治政府建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0">
    <w:p>
      <w:r>
        <w:separator/>
      </w:r>
    </w:p>
  </w:footnote>
  <w:footnote w:type="continuationSeparator" w:id="31">
    <w:p>
      <w:r>
        <w:continuationSeparator/>
      </w:r>
    </w:p>
  </w:footnote>
  <w:footnote w:id="0">
    <w:p>
      <w:pPr>
        <w:pStyle w:val="3"/>
      </w:pPr>
      <w:r>
        <w:rPr>
          <w:rStyle w:val="7"/>
        </w:rPr>
        <w:footnoteRef/>
      </w:r>
      <w:r>
        <w:t xml:space="preserve"> </w:t>
      </w:r>
      <w:r>
        <w:rPr>
          <w:rFonts w:hint="eastAsia" w:ascii="宋体" w:hAnsi="宋体" w:cs="宋体"/>
        </w:rPr>
        <w:t>徐彪</w:t>
      </w:r>
      <w:r>
        <w:rPr>
          <w:rFonts w:ascii="宋体" w:hAnsi="宋体" w:cs="宋体"/>
        </w:rPr>
        <w:t>:</w:t>
      </w:r>
      <w:r>
        <w:rPr>
          <w:rFonts w:hint="eastAsia" w:ascii="宋体" w:hAnsi="宋体" w:cs="宋体"/>
        </w:rPr>
        <w:t>佛山市顺德区人民检察院检察长；李荣楠：顺德区人民检察院北滘检察室主任；黄玉湄</w:t>
      </w:r>
      <w:r>
        <w:rPr>
          <w:rFonts w:ascii="宋体" w:hAnsi="宋体" w:cs="宋体"/>
        </w:rPr>
        <w:t>:</w:t>
      </w:r>
      <w:r>
        <w:rPr>
          <w:rFonts w:hint="eastAsia" w:ascii="宋体" w:hAnsi="宋体" w:cs="宋体"/>
        </w:rPr>
        <w:t>顺德区人民检察院第五检察部检察官助理。</w:t>
      </w:r>
    </w:p>
  </w:footnote>
  <w:footnote w:id="1">
    <w:p>
      <w:pPr>
        <w:pStyle w:val="3"/>
        <w:jc w:val="both"/>
        <w:rPr>
          <w:rFonts w:cs="Times New Roman"/>
        </w:rPr>
      </w:pPr>
      <w:r>
        <w:rPr>
          <w:rStyle w:val="7"/>
        </w:rPr>
        <w:footnoteRef/>
      </w:r>
      <w:r>
        <w:rPr>
          <w:rFonts w:ascii="宋体" w:hAnsi="宋体" w:cs="宋体"/>
        </w:rPr>
        <w:t xml:space="preserve"> </w:t>
      </w:r>
      <w:r>
        <w:rPr>
          <w:rFonts w:hint="eastAsia" w:ascii="宋体" w:hAnsi="宋体" w:cs="宋体"/>
        </w:rPr>
        <w:t>本文所指的一般领域行政违法监督案件是行政公益诉讼所涉的生态环境和资源保护、食品药品、国有土地使用权出让、国有财产领域外的行政违法监督案件。</w:t>
      </w:r>
    </w:p>
  </w:footnote>
  <w:footnote w:id="2">
    <w:p>
      <w:pPr>
        <w:pStyle w:val="3"/>
        <w:jc w:val="both"/>
        <w:rPr>
          <w:rFonts w:cs="Times New Roman"/>
        </w:rPr>
      </w:pPr>
      <w:r>
        <w:rPr>
          <w:rStyle w:val="7"/>
        </w:rPr>
        <w:footnoteRef/>
      </w:r>
      <w:r>
        <w:rPr>
          <w:rFonts w:ascii="宋体" w:hAnsi="宋体" w:cs="宋体"/>
        </w:rPr>
        <w:t xml:space="preserve"> 2014</w:t>
      </w:r>
      <w:r>
        <w:rPr>
          <w:rFonts w:hint="eastAsia" w:ascii="宋体" w:hAnsi="宋体" w:cs="宋体"/>
        </w:rPr>
        <w:t>年</w:t>
      </w:r>
      <w:r>
        <w:rPr>
          <w:rFonts w:hint="eastAsia" w:ascii="宋体" w:hAnsi="宋体" w:cs="宋体"/>
          <w:lang w:eastAsia="zh-CN"/>
        </w:rPr>
        <w:t>《中华人民共和国行政诉讼法》</w:t>
      </w:r>
      <w:r>
        <w:rPr>
          <w:rFonts w:hint="eastAsia" w:ascii="宋体" w:hAnsi="宋体" w:cs="宋体"/>
        </w:rPr>
        <w:t>第一百零一条规定：人民法院审理行政案件，关于期间、送达、财产保全、开庭审理、调解、中止诉讼、终结诉讼、简易程序、执行等，以及人民检察院对行政案件受理、审理、裁判、执行的监督，本法没有规定的，适用《中华人民共和国民事诉讼法》的相关规定。</w:t>
      </w:r>
    </w:p>
  </w:footnote>
  <w:footnote w:id="3">
    <w:p>
      <w:pPr>
        <w:pStyle w:val="3"/>
        <w:jc w:val="both"/>
        <w:rPr>
          <w:rFonts w:cs="Times New Roman"/>
        </w:rPr>
      </w:pPr>
      <w:r>
        <w:rPr>
          <w:rStyle w:val="7"/>
        </w:rPr>
        <w:footnoteRef/>
      </w:r>
      <w:r>
        <w:rPr>
          <w:rFonts w:ascii="宋体" w:hAnsi="宋体" w:cs="宋体"/>
        </w:rPr>
        <w:t xml:space="preserve"> </w:t>
      </w:r>
      <w:r>
        <w:rPr>
          <w:rFonts w:hint="eastAsia" w:ascii="宋体" w:hAnsi="宋体" w:cs="宋体"/>
        </w:rPr>
        <w:t>数据源于《</w:t>
      </w:r>
      <w:r>
        <w:rPr>
          <w:rFonts w:ascii="宋体" w:hAnsi="宋体" w:cs="宋体"/>
        </w:rPr>
        <w:t>2017</w:t>
      </w:r>
      <w:r>
        <w:rPr>
          <w:rFonts w:hint="eastAsia" w:ascii="宋体" w:hAnsi="宋体" w:cs="宋体"/>
        </w:rPr>
        <w:t>年全省民事行政检察工作总结》</w:t>
      </w:r>
    </w:p>
  </w:footnote>
  <w:footnote w:id="4">
    <w:p>
      <w:pPr>
        <w:pStyle w:val="3"/>
        <w:jc w:val="both"/>
        <w:rPr>
          <w:rFonts w:cs="Times New Roman"/>
        </w:rPr>
      </w:pPr>
      <w:r>
        <w:rPr>
          <w:rStyle w:val="7"/>
        </w:rPr>
        <w:footnoteRef/>
      </w:r>
      <w:r>
        <w:rPr>
          <w:rFonts w:ascii="宋体" w:hAnsi="宋体" w:cs="宋体"/>
        </w:rPr>
        <w:t xml:space="preserve"> </w:t>
      </w:r>
      <w:r>
        <w:rPr>
          <w:rFonts w:hint="eastAsia" w:ascii="宋体" w:hAnsi="宋体" w:cs="宋体"/>
        </w:rPr>
        <w:t>数据源于《广东省高级人民法院</w:t>
      </w:r>
      <w:r>
        <w:rPr>
          <w:rFonts w:ascii="宋体" w:hAnsi="宋体" w:cs="宋体"/>
        </w:rPr>
        <w:t>2018</w:t>
      </w:r>
      <w:r>
        <w:rPr>
          <w:rFonts w:hint="eastAsia" w:ascii="宋体" w:hAnsi="宋体" w:cs="宋体"/>
        </w:rPr>
        <w:t>年工作报告》。</w:t>
      </w:r>
    </w:p>
  </w:footnote>
  <w:footnote w:id="5">
    <w:p>
      <w:pPr>
        <w:pStyle w:val="4"/>
        <w:widowControl/>
        <w:jc w:val="both"/>
        <w:rPr>
          <w:rFonts w:cs="Times New Roman"/>
        </w:rPr>
      </w:pPr>
      <w:r>
        <w:rPr>
          <w:rStyle w:val="7"/>
          <w:kern w:val="2"/>
          <w:sz w:val="18"/>
          <w:szCs w:val="18"/>
        </w:rPr>
        <w:footnoteRef/>
      </w:r>
      <w:r>
        <w:rPr>
          <w:rFonts w:ascii="宋体" w:hAnsi="宋体" w:cs="宋体"/>
          <w:kern w:val="2"/>
          <w:sz w:val="18"/>
          <w:szCs w:val="18"/>
        </w:rPr>
        <w:t xml:space="preserve"> 2017</w:t>
      </w:r>
      <w:r>
        <w:rPr>
          <w:rFonts w:hint="eastAsia" w:ascii="宋体" w:hAnsi="宋体" w:cs="宋体"/>
          <w:kern w:val="2"/>
          <w:sz w:val="18"/>
          <w:szCs w:val="18"/>
        </w:rPr>
        <w:t>年</w:t>
      </w:r>
      <w:r>
        <w:rPr>
          <w:rFonts w:hint="eastAsia" w:ascii="宋体" w:hAnsi="宋体" w:cs="宋体"/>
          <w:kern w:val="2"/>
          <w:sz w:val="18"/>
          <w:szCs w:val="18"/>
          <w:lang w:eastAsia="zh-CN"/>
        </w:rPr>
        <w:t>《中华人民共和国行政诉讼法》</w:t>
      </w:r>
      <w:r>
        <w:rPr>
          <w:rFonts w:hint="eastAsia" w:ascii="宋体" w:hAnsi="宋体" w:cs="宋体"/>
          <w:kern w:val="2"/>
          <w:sz w:val="18"/>
          <w:szCs w:val="18"/>
        </w:rPr>
        <w:t>第二十五条第四款规定：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p>
  </w:footnote>
  <w:footnote w:id="6">
    <w:p>
      <w:pPr>
        <w:pStyle w:val="3"/>
        <w:jc w:val="both"/>
        <w:rPr>
          <w:rFonts w:cs="Times New Roman"/>
        </w:rPr>
      </w:pPr>
      <w:r>
        <w:rPr>
          <w:rStyle w:val="7"/>
        </w:rPr>
        <w:footnoteRef/>
      </w:r>
      <w:r>
        <w:rPr>
          <w:rFonts w:ascii="宋体" w:hAnsi="宋体" w:cs="宋体"/>
        </w:rPr>
        <w:t xml:space="preserve"> 2018</w:t>
      </w:r>
      <w:r>
        <w:rPr>
          <w:rFonts w:hint="eastAsia" w:ascii="宋体" w:hAnsi="宋体" w:cs="宋体"/>
        </w:rPr>
        <w:t>年</w:t>
      </w:r>
      <w:r>
        <w:rPr>
          <w:rFonts w:ascii="宋体" w:hAnsi="宋体" w:cs="宋体"/>
        </w:rPr>
        <w:t>3</w:t>
      </w:r>
      <w:r>
        <w:rPr>
          <w:rFonts w:hint="eastAsia" w:ascii="宋体" w:hAnsi="宋体" w:cs="宋体"/>
        </w:rPr>
        <w:t>月</w:t>
      </w:r>
      <w:r>
        <w:rPr>
          <w:rFonts w:ascii="宋体" w:hAnsi="宋体" w:cs="宋体"/>
        </w:rPr>
        <w:t>2</w:t>
      </w:r>
      <w:r>
        <w:rPr>
          <w:rFonts w:hint="eastAsia" w:ascii="宋体" w:hAnsi="宋体" w:cs="宋体"/>
        </w:rPr>
        <w:t>日，《最高人民法院、最高人民检察院关于检察公益诉讼案件适用法律若干问题的解释》发布，确定了检察机关公益诉讼起诉人的地位。根据法律规定，对于不同类型公益诉讼的监督，需采用诉前检察建议、起诉等监督方式。</w:t>
      </w:r>
    </w:p>
  </w:footnote>
  <w:footnote w:id="7">
    <w:p>
      <w:pPr>
        <w:pStyle w:val="3"/>
        <w:jc w:val="both"/>
        <w:rPr>
          <w:rFonts w:cs="Times New Roman"/>
        </w:rPr>
      </w:pPr>
      <w:r>
        <w:rPr>
          <w:rStyle w:val="7"/>
        </w:rPr>
        <w:footnoteRef/>
      </w:r>
      <w:r>
        <w:rPr>
          <w:rFonts w:ascii="宋体" w:hAnsi="宋体" w:cs="宋体"/>
        </w:rPr>
        <w:t xml:space="preserve"> </w:t>
      </w:r>
      <w:r>
        <w:rPr>
          <w:rFonts w:hint="eastAsia" w:ascii="宋体" w:hAnsi="宋体" w:cs="宋体"/>
        </w:rPr>
        <w:t>葛晓燕：《我国行政检察监督的检讨与重构</w:t>
      </w:r>
      <w:r>
        <w:rPr>
          <w:rFonts w:ascii="宋体" w:hAnsi="宋体" w:cs="宋体"/>
        </w:rPr>
        <w:t>——</w:t>
      </w:r>
      <w:r>
        <w:rPr>
          <w:rFonts w:hint="eastAsia" w:ascii="宋体" w:hAnsi="宋体" w:cs="宋体"/>
        </w:rPr>
        <w:t>兼及</w:t>
      </w:r>
      <w:r>
        <w:rPr>
          <w:rFonts w:ascii="宋体" w:hAnsi="宋体" w:cs="宋体"/>
        </w:rPr>
        <w:t>&lt;</w:t>
      </w:r>
      <w:r>
        <w:rPr>
          <w:rFonts w:hint="eastAsia" w:ascii="宋体" w:hAnsi="宋体" w:cs="宋体"/>
        </w:rPr>
        <w:t>行政诉讼法</w:t>
      </w:r>
      <w:r>
        <w:rPr>
          <w:rFonts w:ascii="宋体" w:hAnsi="宋体" w:cs="宋体"/>
        </w:rPr>
        <w:t>&gt;</w:t>
      </w:r>
      <w:r>
        <w:rPr>
          <w:rFonts w:hint="eastAsia" w:ascii="宋体" w:hAnsi="宋体" w:cs="宋体"/>
        </w:rPr>
        <w:t>的修改》，载南京社会科学</w:t>
      </w:r>
      <w:r>
        <w:rPr>
          <w:rFonts w:ascii="宋体" w:hAnsi="宋体" w:cs="宋体"/>
        </w:rPr>
        <w:t>2014</w:t>
      </w:r>
      <w:r>
        <w:rPr>
          <w:rFonts w:hint="eastAsia" w:ascii="宋体" w:hAnsi="宋体" w:cs="宋体"/>
        </w:rPr>
        <w:t>年第</w:t>
      </w:r>
      <w:r>
        <w:rPr>
          <w:rFonts w:ascii="宋体" w:hAnsi="宋体" w:cs="宋体"/>
        </w:rPr>
        <w:t>6</w:t>
      </w:r>
      <w:r>
        <w:rPr>
          <w:rFonts w:hint="eastAsia" w:ascii="宋体" w:hAnsi="宋体" w:cs="宋体"/>
        </w:rPr>
        <w:t>期。</w:t>
      </w:r>
    </w:p>
  </w:footnote>
  <w:footnote w:id="8">
    <w:p>
      <w:pPr>
        <w:pStyle w:val="3"/>
        <w:jc w:val="both"/>
        <w:rPr>
          <w:rFonts w:cs="Times New Roman"/>
        </w:rPr>
      </w:pPr>
      <w:r>
        <w:rPr>
          <w:rStyle w:val="7"/>
        </w:rPr>
        <w:footnoteRef/>
      </w:r>
      <w:r>
        <w:rPr>
          <w:rFonts w:ascii="宋体" w:hAnsi="宋体" w:cs="宋体"/>
        </w:rPr>
        <w:t xml:space="preserve"> </w:t>
      </w:r>
      <w:r>
        <w:rPr>
          <w:rFonts w:hint="eastAsia" w:ascii="宋体" w:hAnsi="宋体" w:cs="宋体"/>
          <w:color w:val="000000"/>
        </w:rPr>
        <w:t>《人民检察院行政诉讼监督规则</w:t>
      </w:r>
      <w:r>
        <w:rPr>
          <w:rFonts w:ascii="宋体" w:hAnsi="宋体" w:cs="宋体"/>
          <w:color w:val="000000"/>
        </w:rPr>
        <w:t>(</w:t>
      </w:r>
      <w:r>
        <w:rPr>
          <w:rFonts w:hint="eastAsia" w:ascii="宋体" w:hAnsi="宋体" w:cs="宋体"/>
          <w:color w:val="000000"/>
        </w:rPr>
        <w:t>试行</w:t>
      </w:r>
      <w:r>
        <w:rPr>
          <w:rFonts w:ascii="宋体" w:hAnsi="宋体" w:cs="宋体"/>
          <w:color w:val="000000"/>
        </w:rPr>
        <w:t>)</w:t>
      </w:r>
      <w:r>
        <w:rPr>
          <w:rFonts w:hint="eastAsia" w:ascii="宋体" w:hAnsi="宋体" w:cs="宋体"/>
          <w:color w:val="000000"/>
        </w:rPr>
        <w:t>》第</w:t>
      </w:r>
      <w:r>
        <w:rPr>
          <w:rFonts w:ascii="宋体" w:hAnsi="宋体" w:cs="宋体"/>
          <w:color w:val="000000"/>
        </w:rPr>
        <w:t>9</w:t>
      </w:r>
      <w:r>
        <w:rPr>
          <w:rFonts w:hint="eastAsia" w:ascii="宋体" w:hAnsi="宋体" w:cs="宋体"/>
          <w:color w:val="000000"/>
        </w:rPr>
        <w:t>条：有下列情形之一的行政诉讼案件，人民检察院应当依职权进行监督：（一）损害国家利益或者社会公共利益的；（二）审判、执行人员有贪污受贿、徇私舞弊、枉法裁判等违法行为的；（三）其他确有必要进行监督的。</w:t>
      </w:r>
    </w:p>
  </w:footnote>
  <w:footnote w:id="9">
    <w:p>
      <w:pPr>
        <w:pStyle w:val="3"/>
        <w:jc w:val="both"/>
        <w:rPr>
          <w:rFonts w:cs="Times New Roman"/>
        </w:rPr>
      </w:pPr>
      <w:r>
        <w:rPr>
          <w:rStyle w:val="7"/>
        </w:rPr>
        <w:footnoteRef/>
      </w:r>
      <w:r>
        <w:rPr>
          <w:rFonts w:ascii="宋体" w:hAnsi="宋体" w:cs="宋体"/>
        </w:rPr>
        <w:t xml:space="preserve"> </w:t>
      </w:r>
      <w:r>
        <w:rPr>
          <w:rFonts w:hint="eastAsia" w:ascii="宋体" w:hAnsi="宋体" w:cs="宋体"/>
        </w:rPr>
        <w:t>曹建明：《依法稳步扎实推进行政检察工作、更好推动公正司法促进依法行政》，载《人民检察》</w:t>
      </w:r>
      <w:r>
        <w:rPr>
          <w:rFonts w:ascii="宋体" w:hAnsi="宋体" w:cs="宋体"/>
        </w:rPr>
        <w:t>2015</w:t>
      </w:r>
      <w:r>
        <w:rPr>
          <w:rFonts w:hint="eastAsia" w:ascii="宋体" w:hAnsi="宋体" w:cs="宋体"/>
        </w:rPr>
        <w:t>年第</w:t>
      </w:r>
      <w:r>
        <w:rPr>
          <w:rFonts w:ascii="宋体" w:hAnsi="宋体" w:cs="宋体"/>
        </w:rPr>
        <w:t>11</w:t>
      </w:r>
      <w:r>
        <w:rPr>
          <w:rFonts w:hint="eastAsia" w:ascii="宋体" w:hAnsi="宋体" w:cs="宋体"/>
        </w:rPr>
        <w:t>期。</w:t>
      </w:r>
    </w:p>
  </w:footnote>
  <w:footnote w:id="10">
    <w:p>
      <w:pPr>
        <w:pStyle w:val="3"/>
        <w:jc w:val="both"/>
        <w:rPr>
          <w:rFonts w:ascii="宋体" w:cs="Times New Roman"/>
        </w:rPr>
      </w:pPr>
      <w:r>
        <w:rPr>
          <w:rStyle w:val="7"/>
        </w:rPr>
        <w:footnoteRef/>
      </w:r>
      <w:r>
        <w:rPr>
          <w:rFonts w:ascii="宋体" w:hAnsi="宋体" w:cs="宋体"/>
        </w:rPr>
        <w:t xml:space="preserve"> </w:t>
      </w:r>
      <w:r>
        <w:rPr>
          <w:rFonts w:hint="eastAsia" w:ascii="宋体" w:hAnsi="宋体" w:cs="宋体"/>
        </w:rPr>
        <w:t>曹建明：《依法稳步扎实推进行政检察工作、更好推动公正司法促进依法行政》，载《人民检察》</w:t>
      </w:r>
      <w:r>
        <w:rPr>
          <w:rFonts w:ascii="宋体" w:hAnsi="宋体" w:cs="宋体"/>
        </w:rPr>
        <w:t>2015</w:t>
      </w:r>
      <w:r>
        <w:rPr>
          <w:rFonts w:hint="eastAsia" w:ascii="宋体" w:hAnsi="宋体" w:cs="宋体"/>
        </w:rPr>
        <w:t>年第</w:t>
      </w:r>
      <w:r>
        <w:rPr>
          <w:rFonts w:ascii="宋体" w:hAnsi="宋体" w:cs="宋体"/>
        </w:rPr>
        <w:t>11</w:t>
      </w:r>
      <w:r>
        <w:rPr>
          <w:rFonts w:hint="eastAsia" w:ascii="宋体" w:hAnsi="宋体" w:cs="宋体"/>
        </w:rPr>
        <w:t>期。</w:t>
      </w:r>
    </w:p>
    <w:p>
      <w:pPr>
        <w:pStyle w:val="3"/>
        <w:jc w:val="both"/>
        <w:rPr>
          <w:rFonts w:cs="Times New Roman"/>
        </w:rPr>
      </w:pPr>
    </w:p>
  </w:footnote>
  <w:footnote w:id="11">
    <w:p>
      <w:pPr>
        <w:rPr>
          <w:rFonts w:cs="Times New Roman"/>
        </w:rPr>
      </w:pPr>
      <w:r>
        <w:rPr>
          <w:rStyle w:val="7"/>
          <w:sz w:val="18"/>
          <w:szCs w:val="18"/>
        </w:rPr>
        <w:footnoteRef/>
      </w:r>
      <w:r>
        <w:rPr>
          <w:rFonts w:ascii="宋体" w:hAnsi="宋体" w:cs="宋体"/>
          <w:sz w:val="18"/>
          <w:szCs w:val="18"/>
        </w:rPr>
        <w:t xml:space="preserve"> </w:t>
      </w:r>
      <w:r>
        <w:rPr>
          <w:rFonts w:hint="eastAsia" w:ascii="宋体" w:hAnsi="宋体" w:cs="宋体"/>
          <w:sz w:val="18"/>
          <w:szCs w:val="18"/>
        </w:rPr>
        <w:t>队伍的四化建设包括：年轻化，这是一支平均年龄为</w:t>
      </w:r>
      <w:r>
        <w:rPr>
          <w:rFonts w:ascii="宋体" w:hAnsi="宋体" w:cs="宋体"/>
          <w:sz w:val="18"/>
          <w:szCs w:val="18"/>
        </w:rPr>
        <w:t>34</w:t>
      </w:r>
      <w:r>
        <w:rPr>
          <w:rFonts w:hint="eastAsia" w:ascii="宋体" w:hAnsi="宋体" w:cs="宋体"/>
          <w:sz w:val="18"/>
          <w:szCs w:val="18"/>
        </w:rPr>
        <w:t>岁的队伍；专业化，队伍中既有熟悉民行业务的民行检察干警，优秀公诉人、反贪侦查能手的加入使队伍的综合素质、专业能力增强；知识化，队伍中具有硕士以上学历的占</w:t>
      </w:r>
      <w:r>
        <w:rPr>
          <w:rFonts w:ascii="宋体" w:hAnsi="宋体" w:cs="宋体"/>
          <w:sz w:val="18"/>
          <w:szCs w:val="18"/>
        </w:rPr>
        <w:t>20%</w:t>
      </w:r>
      <w:r>
        <w:rPr>
          <w:rFonts w:hint="eastAsia" w:ascii="宋体" w:hAnsi="宋体" w:cs="宋体"/>
          <w:sz w:val="18"/>
          <w:szCs w:val="18"/>
        </w:rPr>
        <w:t>，具有本科以上学历占</w:t>
      </w:r>
      <w:r>
        <w:rPr>
          <w:rFonts w:ascii="宋体" w:hAnsi="宋体" w:cs="宋体"/>
          <w:sz w:val="18"/>
          <w:szCs w:val="18"/>
        </w:rPr>
        <w:t>73.3%</w:t>
      </w:r>
      <w:r>
        <w:rPr>
          <w:rFonts w:hint="eastAsia" w:ascii="宋体" w:hAnsi="宋体" w:cs="宋体"/>
          <w:sz w:val="18"/>
          <w:szCs w:val="18"/>
        </w:rPr>
        <w:t>，队伍人员学习能力强，专业知识扎实。全面化，该院立足于行政检察工作的开展需要，招录司法辅助人员时实现了人才选拔的宽领域广覆盖，除了法学专业外，环境保护、食品药品等专业的人才也加入到民行队伍里，全面推动了工作的开展。</w:t>
      </w:r>
    </w:p>
  </w:footnote>
  <w:footnote w:id="12">
    <w:p>
      <w:pPr>
        <w:pStyle w:val="3"/>
        <w:jc w:val="both"/>
        <w:rPr>
          <w:rFonts w:cs="Times New Roman"/>
        </w:rPr>
      </w:pPr>
      <w:r>
        <w:rPr>
          <w:rStyle w:val="7"/>
        </w:rPr>
        <w:footnoteRef/>
      </w:r>
      <w:r>
        <w:rPr>
          <w:rFonts w:ascii="宋体" w:hAnsi="宋体" w:cs="宋体"/>
        </w:rPr>
        <w:t xml:space="preserve"> </w:t>
      </w:r>
      <w:r>
        <w:rPr>
          <w:rFonts w:hint="eastAsia" w:ascii="宋体" w:hAnsi="宋体" w:cs="宋体"/>
        </w:rPr>
        <w:t>在《指引》的指导下，通过民事行政检察部的牵头与全面统筹协调，各部门均发挥各自的职能优势，</w:t>
      </w:r>
      <w:r>
        <w:rPr>
          <w:rFonts w:ascii="宋体" w:hAnsi="宋体" w:cs="宋体"/>
        </w:rPr>
        <w:t>1+1&gt;2</w:t>
      </w:r>
      <w:r>
        <w:rPr>
          <w:rFonts w:hint="eastAsia" w:ascii="宋体" w:hAnsi="宋体" w:cs="宋体"/>
        </w:rPr>
        <w:t>的行政检察合力工作效果渐显。《指引》还明确了镇街检察室参与公益诉讼工作的任务。</w:t>
      </w:r>
    </w:p>
  </w:footnote>
  <w:footnote w:id="13">
    <w:p>
      <w:pPr>
        <w:pStyle w:val="3"/>
        <w:jc w:val="both"/>
        <w:rPr>
          <w:rFonts w:cs="Times New Roman"/>
        </w:rPr>
      </w:pPr>
      <w:r>
        <w:rPr>
          <w:rStyle w:val="7"/>
        </w:rPr>
        <w:footnoteRef/>
      </w:r>
      <w:r>
        <w:rPr>
          <w:rFonts w:ascii="宋体" w:hAnsi="宋体" w:cs="宋体"/>
        </w:rPr>
        <w:t xml:space="preserve"> </w:t>
      </w:r>
      <w:r>
        <w:rPr>
          <w:rFonts w:hint="eastAsia" w:ascii="宋体" w:hAnsi="宋体" w:cs="宋体"/>
        </w:rPr>
        <w:t>顺德区检察院民行部从案件名称的规范开始抓起，制定了《案件命名规则》，随后制定了《办理行政公益诉讼案件流程图》、《办理行政违法监督案件流程图》、《办理民行监督案件流程图》</w:t>
      </w:r>
      <w:r>
        <w:rPr>
          <w:rFonts w:hint="eastAsia" w:ascii="宋体" w:hAnsi="宋体" w:cs="宋体"/>
          <w:kern w:val="0"/>
        </w:rPr>
        <w:t>。</w:t>
      </w:r>
    </w:p>
  </w:footnote>
  <w:footnote w:id="14">
    <w:p>
      <w:pPr>
        <w:pStyle w:val="3"/>
        <w:jc w:val="both"/>
        <w:rPr>
          <w:rFonts w:cs="Times New Roman"/>
        </w:rPr>
      </w:pPr>
      <w:r>
        <w:rPr>
          <w:rStyle w:val="7"/>
        </w:rPr>
        <w:footnoteRef/>
      </w:r>
      <w:r>
        <w:rPr>
          <w:rFonts w:ascii="宋体" w:hAnsi="宋体" w:cs="宋体"/>
        </w:rPr>
        <w:t xml:space="preserve"> </w:t>
      </w:r>
      <w:r>
        <w:rPr>
          <w:rFonts w:hint="eastAsia" w:ascii="宋体" w:hAnsi="宋体" w:cs="宋体"/>
        </w:rPr>
        <w:t>魏晓娜：《依法治国语境下检察机关的性质与职权》，载《中国法学》</w:t>
      </w:r>
      <w:r>
        <w:rPr>
          <w:rFonts w:ascii="宋体" w:hAnsi="宋体" w:cs="宋体"/>
        </w:rPr>
        <w:t>2018</w:t>
      </w:r>
      <w:r>
        <w:rPr>
          <w:rFonts w:hint="eastAsia" w:ascii="宋体" w:hAnsi="宋体" w:cs="宋体"/>
        </w:rPr>
        <w:t>年第</w:t>
      </w:r>
      <w:r>
        <w:rPr>
          <w:rFonts w:ascii="宋体" w:hAnsi="宋体" w:cs="宋体"/>
        </w:rPr>
        <w:t>1</w:t>
      </w:r>
      <w:r>
        <w:rPr>
          <w:rFonts w:hint="eastAsia" w:ascii="宋体" w:hAnsi="宋体" w:cs="宋体"/>
        </w:rPr>
        <w:t>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30"/>
    <w:footnote w:id="3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mFmYzYyZmQ5MTYxNzUxMTA4MWI1YmVjOTY3MTQifQ=="/>
  </w:docVars>
  <w:rsids>
    <w:rsidRoot w:val="55843D55"/>
    <w:rsid w:val="12785E95"/>
    <w:rsid w:val="34502622"/>
    <w:rsid w:val="4A0A293E"/>
    <w:rsid w:val="55843D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uiPriority w:val="99"/>
    <w:pPr>
      <w:spacing w:beforeAutospacing="1" w:afterAutospacing="1"/>
      <w:jc w:val="left"/>
      <w:outlineLvl w:val="1"/>
    </w:pPr>
    <w:rPr>
      <w:rFonts w:ascii="宋体" w:hAnsi="宋体" w:cs="宋体"/>
      <w:b/>
      <w:bCs/>
      <w:kern w:val="0"/>
      <w:sz w:val="36"/>
      <w:szCs w:val="3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note text"/>
    <w:basedOn w:val="1"/>
    <w:semiHidden/>
    <w:qFormat/>
    <w:uiPriority w:val="99"/>
    <w:pPr>
      <w:snapToGrid w:val="0"/>
      <w:jc w:val="left"/>
    </w:pPr>
    <w:rPr>
      <w:rFonts w:asciiTheme="minorHAnsi" w:hAnsiTheme="minorHAnsi" w:eastAsiaTheme="minorEastAsia" w:cstheme="minorBidi"/>
      <w:sz w:val="18"/>
      <w:szCs w:val="18"/>
    </w:rPr>
  </w:style>
  <w:style w:type="paragraph" w:styleId="4">
    <w:name w:val="Normal (Web)"/>
    <w:basedOn w:val="1"/>
    <w:qFormat/>
    <w:uiPriority w:val="99"/>
    <w:pPr>
      <w:jc w:val="left"/>
    </w:pPr>
    <w:rPr>
      <w:color w:val="2B2B2B"/>
      <w:kern w:val="0"/>
      <w:sz w:val="24"/>
      <w:szCs w:val="24"/>
    </w:rPr>
  </w:style>
  <w:style w:type="character" w:styleId="7">
    <w:name w:val="footnote reference"/>
    <w:basedOn w:val="6"/>
    <w:semiHidden/>
    <w:qFormat/>
    <w:uiPriority w:val="0"/>
    <w:rPr>
      <w:rFonts w:cs="Times New Roman"/>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2021-05-08T02:32:00Z</dcterms:created>
  <dc:creator>梦儿要变白 </dc:creator>
  <cp:lastModifiedBy>赤焰完燃</cp:lastModifiedBy>
  <dcterms:modified xsi:type="dcterms:W3CDTF">2023-10-11T02:05:58Z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C21E513AD1BA4083BEC9D3F47BF60130</vt:lpwstr>
  </property>
</Properties>
</file>